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F0F41">
      <w:pPr>
        <w:overflowPunct w:val="0"/>
        <w:spacing w:line="580" w:lineRule="exact"/>
        <w:rPr>
          <w:rFonts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51C575B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1" w:name="_GoBack"/>
      <w:bookmarkEnd w:id="1"/>
    </w:p>
    <w:p w14:paraId="6CAA198C"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2026“世遗泉州 味连五洲”泉州美食</w:t>
      </w:r>
    </w:p>
    <w:p w14:paraId="39E3CAC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全球推广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》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执行项目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综合评分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标准</w:t>
      </w:r>
    </w:p>
    <w:p w14:paraId="1F73437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4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 w14:paraId="495E94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line="640" w:lineRule="exact"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本项目采用综合评分法，总分100分，其中：技术商务部分占80分，价格部分占20分。本项目采用综合评分法，评审小组对各投标人提交的投标文件进行综合评审，以评分合计总分最高者为第一中标候选人，依此类推。</w:t>
      </w:r>
    </w:p>
    <w:p w14:paraId="2B9CAE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line="640" w:lineRule="exact"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综合得分=技术商务分+报价得分。其中技术商务分=现场三位评委评分的平均分；报价得分=（评标基准价/投标报价）×20（保留小数点后两位）。综合得分相同的，按投标报价由低到高排序；得分且报价均相同的，按技术商务部分得分优劣排序。</w:t>
      </w:r>
    </w:p>
    <w:p w14:paraId="6729E8F4">
      <w:pPr>
        <w:rPr>
          <w:rFonts w:hint="eastAsia"/>
        </w:rPr>
      </w:pPr>
    </w:p>
    <w:p w14:paraId="5259FC9C">
      <w:p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sz w:val="28"/>
          <w:szCs w:val="28"/>
          <w:highlight w:val="yellow"/>
        </w:rPr>
      </w:pPr>
      <w:r>
        <w:rPr>
          <w:rFonts w:hint="eastAsia" w:ascii="宋体" w:hAnsi="宋体" w:cs="宋体"/>
          <w:b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一</w:t>
      </w:r>
      <w:r>
        <w:rPr>
          <w:rFonts w:hint="eastAsia" w:ascii="宋体" w:hAnsi="宋体" w:cs="宋体"/>
          <w:b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/>
          <w:sz w:val="28"/>
          <w:szCs w:val="28"/>
        </w:rPr>
        <w:t>技术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商务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部分（满分</w:t>
      </w:r>
      <w:r>
        <w:rPr>
          <w:rFonts w:hint="eastAsia" w:ascii="宋体" w:hAnsi="宋体" w:cs="宋体"/>
          <w:b/>
          <w:sz w:val="28"/>
          <w:szCs w:val="28"/>
          <w:highlight w:val="none"/>
          <w:lang w:val="en-US" w:eastAsia="zh-CN"/>
        </w:rPr>
        <w:t>80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分）</w:t>
      </w:r>
    </w:p>
    <w:tbl>
      <w:tblPr>
        <w:tblStyle w:val="3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823"/>
        <w:gridCol w:w="6960"/>
      </w:tblGrid>
      <w:tr w14:paraId="261F3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3D48C">
            <w:pPr>
              <w:pStyle w:val="5"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8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5AAF0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评分标准</w:t>
            </w:r>
          </w:p>
        </w:tc>
      </w:tr>
      <w:tr w14:paraId="14FB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57B12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2D0C9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lang w:val="en-US" w:eastAsia="zh-CN"/>
              </w:rPr>
              <w:t>项目理解与总体策划方案</w:t>
            </w:r>
          </w:p>
          <w:p w14:paraId="216331D3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lang w:val="en-US" w:eastAsia="zh-CN"/>
              </w:rPr>
              <w:t>分）</w:t>
            </w:r>
          </w:p>
        </w:tc>
        <w:tc>
          <w:tcPr>
            <w:tcW w:w="6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C911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投标人须提供项目总体策划方案，内容包括但不限于：对“泉州美食主理人IP培育”主题与目标的理解、项目定位与创意策划、课程体系设计等。评审小组根据方案完整性、可行性、创新性综合评分：</w:t>
            </w:r>
          </w:p>
          <w:p w14:paraId="6D41022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①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方案立意深刻、课程体系完善、亮点突出、可操作性强，得16-20分；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②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方案内容较完整、结构合理、基本满足项目需求，得9-15分；</w:t>
            </w:r>
          </w:p>
          <w:p w14:paraId="1165140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③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方案内容单薄、缺乏针对性，得1-8分；</w:t>
            </w:r>
          </w:p>
          <w:p w14:paraId="7584678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④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未提供或完全偏离主题，得0分。</w:t>
            </w:r>
          </w:p>
        </w:tc>
      </w:tr>
      <w:tr w14:paraId="6B0D2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AD3A5">
            <w:pPr>
              <w:pStyle w:val="5"/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8BA1B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lang w:val="en-US" w:eastAsia="zh-CN"/>
              </w:rPr>
              <w:t>课程研发与教学内容方案（含主理人视频指导与复盘）（30分</w:t>
            </w:r>
            <w:r>
              <w:rPr>
                <w:rFonts w:hint="eastAsia" w:ascii="宋体" w:hAnsi="宋体" w:cs="宋体"/>
                <w:i w:val="0"/>
                <w:iCs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FB7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jc w:val="lef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投标人须提供课程研发与教学实施方案，内容包括但不限于：课程大纲、讲师配备计划等；方案中须设置本地美食达人分享环节，明确拟邀达人名单及相关简介；须为主理人提供视频指导与复盘服务，对学员短视频作品进行跟踪指导、定期复盘，形成培训到提升的闭环。评审根据课程内容专业性、系统性、与泉州美食文化契合度及视频指导与复盘服务实操性综合评分：</w:t>
            </w:r>
          </w:p>
          <w:p w14:paraId="273611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jc w:val="lef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①课程设计专业系统、培训目标明确、师资方案完备、达人分享环节安排合理、视频指导与复盘机制完善，得22-30分；</w:t>
            </w:r>
          </w:p>
          <w:p w14:paraId="13E6199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jc w:val="lef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②课程设计较为完整、基本可行、具备基本视频指导能力，得11-21分；③课程设计粗略、视频指导与复盘价值不足、难以落地，得1-10分；</w:t>
            </w:r>
          </w:p>
          <w:p w14:paraId="734A4DB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④未提供，得0分。</w:t>
            </w:r>
          </w:p>
        </w:tc>
      </w:tr>
      <w:tr w14:paraId="50CF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BEDB2">
            <w:pPr>
              <w:pStyle w:val="5"/>
              <w:tabs>
                <w:tab w:val="left" w:pos="535"/>
              </w:tabs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82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DEF59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</w:rPr>
              <w:t>项目执行与保障方案</w:t>
            </w: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i w:val="0"/>
                <w:iCs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val="en-US" w:eastAsia="zh-CN"/>
              </w:rPr>
              <w:t>0分</w:t>
            </w: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8EB5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left="0" w:right="0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投标人须提供项目执行保障方案，内容包括但不限于：场地布置、教学设备与物料配备、学员管理机制、进度管控措施等。评审根据方案完整性、可操作性综合评分：</w:t>
            </w:r>
          </w:p>
          <w:p w14:paraId="5911BE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left="0" w:right="0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①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较好保障：保障措施周全、物料配置完整、进度安排科学，得15-20分；</w:t>
            </w:r>
          </w:p>
          <w:p w14:paraId="70F7AD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left="0" w:right="0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②基本保障：保障措施基本完整、满足项目基本执行需求，得8-14分；③不能保障：保障方案粗疏、无法满足项目执行要求，得1-7分；</w:t>
            </w:r>
          </w:p>
          <w:p w14:paraId="5FE5E0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left="0" w:right="0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28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④未提供，得0分。</w:t>
            </w:r>
          </w:p>
        </w:tc>
      </w:tr>
      <w:tr w14:paraId="5D820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91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CB6FF">
            <w:pPr>
              <w:pStyle w:val="5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82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F4AB5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</w:rPr>
              <w:t>平台官方资质</w:t>
            </w:r>
          </w:p>
          <w:p w14:paraId="4B97FD17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i w:val="0"/>
                <w:iCs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val="en-US" w:eastAsia="zh-CN"/>
              </w:rPr>
              <w:t>0分</w:t>
            </w: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F04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28"/>
                <w:sz w:val="22"/>
                <w:szCs w:val="22"/>
                <w:shd w:val="clear" w:fill="FFFFFF"/>
                <w:lang w:val="en-US" w:eastAsia="zh-CN" w:bidi="ar-SA"/>
              </w:rPr>
              <w:t>平台官方认证：投标人为抖音平台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28"/>
                <w:sz w:val="22"/>
                <w:szCs w:val="22"/>
                <w:shd w:val="clear" w:fill="FFFFFF"/>
                <w:lang w:val="en-US" w:eastAsia="zh-CN" w:bidi="ar-SA"/>
              </w:rPr>
              <w:t>官方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28"/>
                <w:sz w:val="22"/>
                <w:szCs w:val="22"/>
                <w:shd w:val="clear" w:fill="FFFFFF"/>
                <w:lang w:val="en-US" w:eastAsia="zh-CN" w:bidi="ar-SA"/>
              </w:rPr>
              <w:t>认定的MCN机构，提供有效证明，得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28"/>
                <w:sz w:val="22"/>
                <w:szCs w:val="22"/>
                <w:shd w:val="clear" w:fill="FFFFFF"/>
                <w:lang w:val="en-US" w:eastAsia="zh-CN" w:bidi="ar-SA"/>
              </w:rPr>
              <w:t>20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28"/>
                <w:sz w:val="22"/>
                <w:szCs w:val="22"/>
                <w:shd w:val="clear" w:fill="FFFFFF"/>
                <w:lang w:val="en-US" w:eastAsia="zh-CN" w:bidi="ar-SA"/>
              </w:rPr>
              <w:t>分；</w:t>
            </w:r>
          </w:p>
        </w:tc>
      </w:tr>
      <w:tr w14:paraId="5207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F75C6">
            <w:pPr>
              <w:pStyle w:val="5"/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82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8A86F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</w:rPr>
              <w:t>短视频实战成果与门店引流变现案例</w:t>
            </w: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i w:val="0"/>
                <w:iCs w:val="0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1061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投标人须提供美食类短视频作品及门店引流变现相关案例材料，由评审小组核验其真实性及成效。评审根据案例数量、数据效果及可复制性综合评分：</w:t>
            </w:r>
          </w:p>
          <w:p w14:paraId="6E3DFDF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①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成功案例提供5个以上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、成效突出，得8-10分；</w:t>
            </w:r>
          </w:p>
          <w:p w14:paraId="19FEFD5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②成功过案例提供3个以上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、具备一定成效，得4-7分；</w:t>
            </w:r>
          </w:p>
          <w:p w14:paraId="745161B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③成功案例提供1个以上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，得1-3分；</w:t>
            </w:r>
          </w:p>
          <w:p w14:paraId="3EBABCB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spacing w:val="-4"/>
                <w:sz w:val="21"/>
                <w:szCs w:val="21"/>
                <w:highlight w:val="none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④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未提供，得0分。</w:t>
            </w:r>
          </w:p>
        </w:tc>
      </w:tr>
    </w:tbl>
    <w:p w14:paraId="3B40635B">
      <w:p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sz w:val="28"/>
          <w:szCs w:val="28"/>
        </w:rPr>
      </w:pPr>
    </w:p>
    <w:p w14:paraId="52051A6B">
      <w:pPr>
        <w:pStyle w:val="2"/>
        <w:rPr>
          <w:rFonts w:hint="eastAsia"/>
        </w:rPr>
      </w:pPr>
    </w:p>
    <w:p w14:paraId="2EB5569B">
      <w:p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（二）价格</w:t>
      </w:r>
      <w:r>
        <w:rPr>
          <w:rFonts w:hint="eastAsia" w:ascii="宋体" w:hAnsi="宋体" w:eastAsia="宋体" w:cs="宋体"/>
          <w:b/>
          <w:sz w:val="28"/>
          <w:szCs w:val="28"/>
        </w:rPr>
        <w:t>部分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（</w:t>
      </w:r>
      <w:r>
        <w:rPr>
          <w:rFonts w:hint="eastAsia" w:ascii="宋体" w:hAnsi="宋体" w:cs="宋体"/>
          <w:b/>
          <w:sz w:val="28"/>
          <w:szCs w:val="28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分）</w:t>
      </w:r>
    </w:p>
    <w:tbl>
      <w:tblPr>
        <w:tblStyle w:val="3"/>
        <w:tblW w:w="9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949"/>
        <w:gridCol w:w="6707"/>
      </w:tblGrid>
      <w:tr w14:paraId="2077C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7106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8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842B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评分标准</w:t>
            </w:r>
          </w:p>
        </w:tc>
      </w:tr>
      <w:tr w14:paraId="52B47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494A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3F457">
            <w:pPr>
              <w:pStyle w:val="5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投标报价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1096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采用低价优先法计算：满足招标文件要求且投标价格最低的有效报价为评标基准价，其价格分为满分20分。其他投标人价格分按公式计算：报价得分=（评标基准价/投标报价）×20（保留小数点后两位）。</w:t>
            </w:r>
          </w:p>
        </w:tc>
        <w:bookmarkStart w:id="0" w:name="_Hlt509716920"/>
      </w:tr>
      <w:bookmarkEnd w:id="0"/>
    </w:tbl>
    <w:p w14:paraId="5ABD5F65">
      <w:pPr>
        <w:pStyle w:val="7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 w14:paraId="2E897A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63D51"/>
    <w:rsid w:val="00424C79"/>
    <w:rsid w:val="211B0F0B"/>
    <w:rsid w:val="2EC9229A"/>
    <w:rsid w:val="4B514EB8"/>
    <w:rsid w:val="59763D51"/>
    <w:rsid w:val="72554FB5"/>
    <w:rsid w:val="7EA7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8"/>
    <w:basedOn w:val="1"/>
    <w:next w:val="1"/>
    <w:qFormat/>
    <w:uiPriority w:val="0"/>
    <w:pPr>
      <w:ind w:left="2940" w:leftChars="1400"/>
    </w:pPr>
  </w:style>
  <w:style w:type="paragraph" w:customStyle="1" w:styleId="5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8"/>
      <w:szCs w:val="28"/>
      <w:lang w:val="en-US" w:eastAsia="en-US" w:bidi="ar-SA"/>
    </w:rPr>
  </w:style>
  <w:style w:type="paragraph" w:customStyle="1" w:styleId="7">
    <w:name w:val="UserStyle_0"/>
    <w:basedOn w:val="1"/>
    <w:qFormat/>
    <w:uiPriority w:val="99"/>
    <w:pPr>
      <w:ind w:firstLine="200" w:firstLineChars="200"/>
      <w:textAlignment w:val="baseline"/>
    </w:pPr>
    <w:rPr>
      <w:rFonts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1186</Words>
  <Characters>1243</Characters>
  <Lines>0</Lines>
  <Paragraphs>0</Paragraphs>
  <TotalTime>0</TotalTime>
  <ScaleCrop>false</ScaleCrop>
  <LinksUpToDate>false</LinksUpToDate>
  <CharactersWithSpaces>1244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2026-09-09T02:28:00Z</dcterms:created>
  <dc:creator>荨荚蚤蚤</dc:creator>
  <cp:lastModifiedBy>荨荚蚤蚤</cp:lastModifiedBy>
  <cp:lastPrinted>2026-09-10T09:54:00Z</cp:lastPrinted>
  <dcterms:modified xsi:type="dcterms:W3CDTF">2026-09-17T01:04:03Z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181939217D524F008E7BFC5760F50DB7_11</vt:lpwstr>
  </property>
  <property fmtid="{D5CDD505-2E9C-101B-9397-08002B2CF9AE}" pid="4" name="KSOTemplateDocerSaveRecord">
    <vt:lpwstr>eyJoZGlkIjoiNDQ3NmI0NGE4ZjZlNDUwNzMzY2MxMmNlNmVkYzEwMWQiLCJ1c2VySWQiOiI1MDA2MzQ4MTYifQ==</vt:lpwstr>
  </property>
</Properties>
</file>