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481F7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/>
        <w:rPr>
          <w:sz w:val="20"/>
          <w:szCs w:val="20"/>
        </w:rPr>
      </w:pPr>
    </w:p>
    <w:p w14:paraId="325F93A2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/>
        <w:rPr>
          <w:sz w:val="20"/>
          <w:szCs w:val="20"/>
        </w:rPr>
      </w:pPr>
    </w:p>
    <w:p w14:paraId="6761D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right="0" w:rightChars="0"/>
        <w:jc w:val="center"/>
        <w:textAlignment w:val="auto"/>
        <w:outlineLvl w:val="9"/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“世遗泉州时尚之都”最炫SHOW场宣传片拍摄制作项目</w:t>
      </w:r>
    </w:p>
    <w:p w14:paraId="2BEDE8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right="0" w:rightChars="0"/>
        <w:jc w:val="center"/>
        <w:textAlignment w:val="auto"/>
        <w:outlineLvl w:val="9"/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招标评分方法</w:t>
      </w:r>
    </w:p>
    <w:p w14:paraId="77BF3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right="0" w:rightChars="0"/>
        <w:jc w:val="center"/>
        <w:textAlignment w:val="auto"/>
        <w:outlineLvl w:val="9"/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</w:pPr>
    </w:p>
    <w:p w14:paraId="6052667E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eastAsia" w:ascii="微软雅黑" w:hAnsi="微软雅黑" w:eastAsia="微软雅黑" w:cs="微软雅黑"/>
          <w:spacing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2"/>
          <w:sz w:val="24"/>
          <w:szCs w:val="24"/>
          <w:lang w:eastAsia="zh-CN"/>
        </w:rPr>
        <w:t>一、</w:t>
      </w:r>
      <w:r>
        <w:rPr>
          <w:rFonts w:hint="eastAsia" w:ascii="微软雅黑" w:hAnsi="微软雅黑" w:eastAsia="微软雅黑" w:cs="微软雅黑"/>
          <w:spacing w:val="2"/>
          <w:sz w:val="24"/>
          <w:szCs w:val="24"/>
        </w:rPr>
        <w:t xml:space="preserve">项目名称： </w:t>
      </w:r>
      <w:r>
        <w:rPr>
          <w:rFonts w:hint="eastAsia" w:ascii="微软雅黑" w:hAnsi="微软雅黑" w:eastAsia="微软雅黑" w:cs="微软雅黑"/>
          <w:spacing w:val="2"/>
          <w:sz w:val="24"/>
          <w:szCs w:val="24"/>
          <w:lang w:val="en-US" w:eastAsia="zh-CN"/>
        </w:rPr>
        <w:t>“世遗泉州时尚之都”最炫SHOW场宣传片拍摄制作项目</w:t>
      </w:r>
    </w:p>
    <w:p w14:paraId="54DD7D28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default" w:ascii="微软雅黑" w:hAnsi="微软雅黑" w:eastAsia="微软雅黑" w:cs="微软雅黑"/>
          <w:spacing w:val="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2"/>
          <w:sz w:val="24"/>
          <w:szCs w:val="24"/>
          <w:lang w:val="en-US" w:eastAsia="zh-CN"/>
        </w:rPr>
        <w:t>二、</w:t>
      </w:r>
      <w:r>
        <w:rPr>
          <w:rFonts w:hint="default" w:ascii="微软雅黑" w:hAnsi="微软雅黑" w:eastAsia="微软雅黑" w:cs="微软雅黑"/>
          <w:spacing w:val="2"/>
          <w:sz w:val="24"/>
          <w:szCs w:val="24"/>
          <w:lang w:val="en-US" w:eastAsia="zh-CN"/>
        </w:rPr>
        <w:t>评分</w:t>
      </w:r>
      <w:r>
        <w:rPr>
          <w:rFonts w:hint="eastAsia" w:ascii="微软雅黑" w:hAnsi="微软雅黑" w:eastAsia="微软雅黑" w:cs="微软雅黑"/>
          <w:spacing w:val="2"/>
          <w:sz w:val="24"/>
          <w:szCs w:val="24"/>
          <w:lang w:val="en-US" w:eastAsia="zh-CN"/>
        </w:rPr>
        <w:t>方式：综合评分法</w:t>
      </w:r>
    </w:p>
    <w:p w14:paraId="037AA77C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eastAsia" w:ascii="微软雅黑" w:hAnsi="微软雅黑" w:eastAsia="微软雅黑" w:cs="微软雅黑"/>
          <w:spacing w:val="-2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pacing w:val="-1"/>
          <w:sz w:val="24"/>
          <w:szCs w:val="24"/>
          <w:lang w:eastAsia="zh-CN"/>
        </w:rPr>
        <w:t>三、</w:t>
      </w:r>
      <w:r>
        <w:rPr>
          <w:rFonts w:ascii="微软雅黑" w:hAnsi="微软雅黑" w:eastAsia="微软雅黑" w:cs="微软雅黑"/>
          <w:spacing w:val="-1"/>
          <w:sz w:val="24"/>
          <w:szCs w:val="24"/>
        </w:rPr>
        <w:t>评标方法与</w:t>
      </w:r>
      <w:r>
        <w:rPr>
          <w:rFonts w:ascii="微软雅黑" w:hAnsi="微软雅黑" w:eastAsia="微软雅黑" w:cs="微软雅黑"/>
          <w:spacing w:val="-2"/>
          <w:sz w:val="24"/>
          <w:szCs w:val="24"/>
        </w:rPr>
        <w:t>标准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eastAsia="zh-CN"/>
        </w:rPr>
        <w:t>：</w:t>
      </w:r>
    </w:p>
    <w:p w14:paraId="12C97B9B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4"/>
          <w:szCs w:val="24"/>
          <w:lang w:eastAsia="zh-CN"/>
        </w:rPr>
        <w:t>技术方案与商务综合分：满分</w:t>
      </w: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>90分</w:t>
      </w:r>
    </w:p>
    <w:p w14:paraId="75E97E7E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>价格分：满分10分</w:t>
      </w:r>
    </w:p>
    <w:p w14:paraId="0DF01065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hint="default" w:ascii="微软雅黑" w:hAnsi="微软雅黑" w:eastAsia="微软雅黑" w:cs="微软雅黑"/>
          <w:spacing w:val="-2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2"/>
          <w:sz w:val="24"/>
          <w:szCs w:val="24"/>
          <w:lang w:val="en-US" w:eastAsia="zh-CN"/>
        </w:rPr>
        <w:t>四、评分细则：</w:t>
      </w:r>
    </w:p>
    <w:p w14:paraId="5707FEDA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 w:firstLine="641"/>
        <w:jc w:val="both"/>
        <w:rPr>
          <w:rFonts w:ascii="微软雅黑" w:hAnsi="微软雅黑" w:eastAsia="微软雅黑" w:cs="微软雅黑"/>
          <w:spacing w:val="-1"/>
          <w:sz w:val="24"/>
          <w:szCs w:val="24"/>
        </w:rPr>
      </w:pPr>
      <w:r>
        <w:rPr>
          <w:rFonts w:hint="eastAsia" w:ascii="微软雅黑" w:hAnsi="微软雅黑" w:eastAsia="微软雅黑" w:cs="微软雅黑"/>
          <w:spacing w:val="-1"/>
          <w:sz w:val="24"/>
          <w:szCs w:val="24"/>
          <w:lang w:val="en-US" w:eastAsia="zh-CN"/>
        </w:rPr>
        <w:t>1.</w:t>
      </w:r>
      <w:r>
        <w:rPr>
          <w:rFonts w:ascii="微软雅黑" w:hAnsi="微软雅黑" w:eastAsia="微软雅黑" w:cs="微软雅黑"/>
          <w:spacing w:val="-1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spacing w:val="-1"/>
          <w:sz w:val="24"/>
          <w:szCs w:val="24"/>
          <w:lang w:eastAsia="zh-CN"/>
        </w:rPr>
        <w:t>技术方案与商务综合分</w:t>
      </w:r>
      <w:r>
        <w:rPr>
          <w:rFonts w:ascii="微软雅黑" w:hAnsi="微软雅黑" w:eastAsia="微软雅黑" w:cs="微软雅黑"/>
          <w:spacing w:val="-1"/>
          <w:sz w:val="24"/>
          <w:szCs w:val="24"/>
        </w:rPr>
        <w:t xml:space="preserve">（满分 </w:t>
      </w:r>
      <w:r>
        <w:rPr>
          <w:rFonts w:hint="eastAsia" w:ascii="微软雅黑" w:hAnsi="微软雅黑" w:eastAsia="微软雅黑" w:cs="微软雅黑"/>
          <w:spacing w:val="-1"/>
          <w:sz w:val="24"/>
          <w:szCs w:val="24"/>
          <w:lang w:val="en-US" w:eastAsia="zh-CN"/>
        </w:rPr>
        <w:t xml:space="preserve">90 </w:t>
      </w:r>
      <w:r>
        <w:rPr>
          <w:rFonts w:ascii="微软雅黑" w:hAnsi="微软雅黑" w:eastAsia="微软雅黑" w:cs="微软雅黑"/>
          <w:spacing w:val="-1"/>
          <w:sz w:val="24"/>
          <w:szCs w:val="24"/>
        </w:rPr>
        <w:t>分）</w:t>
      </w:r>
    </w:p>
    <w:tbl>
      <w:tblPr>
        <w:tblStyle w:val="12"/>
        <w:tblW w:w="956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5"/>
        <w:gridCol w:w="682"/>
        <w:gridCol w:w="7476"/>
      </w:tblGrid>
      <w:tr w14:paraId="2EB8E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4" w:hRule="atLeast"/>
        </w:trPr>
        <w:tc>
          <w:tcPr>
            <w:tcW w:w="1405" w:type="dxa"/>
            <w:vAlign w:val="top"/>
          </w:tcPr>
          <w:p w14:paraId="3ED13246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评标</w:t>
            </w:r>
          </w:p>
          <w:p w14:paraId="231006A6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position w:val="-2"/>
                <w:sz w:val="22"/>
                <w:szCs w:val="22"/>
              </w:rPr>
              <w:t>项目</w:t>
            </w:r>
          </w:p>
        </w:tc>
        <w:tc>
          <w:tcPr>
            <w:tcW w:w="682" w:type="dxa"/>
            <w:vAlign w:val="top"/>
          </w:tcPr>
          <w:p w14:paraId="769CF69A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sz w:val="22"/>
                <w:szCs w:val="22"/>
              </w:rPr>
            </w:pPr>
            <w:r>
              <w:rPr>
                <w:b/>
                <w:bCs/>
                <w:spacing w:val="-2"/>
                <w:sz w:val="22"/>
                <w:szCs w:val="22"/>
              </w:rPr>
              <w:t>评标</w:t>
            </w:r>
          </w:p>
          <w:p w14:paraId="6DC899D6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分值</w:t>
            </w:r>
          </w:p>
        </w:tc>
        <w:tc>
          <w:tcPr>
            <w:tcW w:w="7476" w:type="dxa"/>
            <w:vAlign w:val="top"/>
          </w:tcPr>
          <w:p w14:paraId="6BA50128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评标方法描述</w:t>
            </w:r>
          </w:p>
        </w:tc>
      </w:tr>
      <w:tr w14:paraId="726D6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dxa"/>
            <w:vAlign w:val="center"/>
          </w:tcPr>
          <w:p w14:paraId="67D9F15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ascii="Arial" w:hAnsi="Arial" w:eastAsia="Arial" w:cs="Arial"/>
                <w:color w:val="auto"/>
                <w:spacing w:val="6"/>
                <w:sz w:val="24"/>
                <w:szCs w:val="24"/>
              </w:rPr>
              <w:t>1-</w:t>
            </w:r>
            <w:r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  <w:t>1</w:t>
            </w:r>
          </w:p>
          <w:p w14:paraId="795DCF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项目总体理解与策划</w:t>
            </w:r>
          </w:p>
        </w:tc>
        <w:tc>
          <w:tcPr>
            <w:tcW w:w="682" w:type="dxa"/>
            <w:vAlign w:val="center"/>
          </w:tcPr>
          <w:p w14:paraId="344D8E1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eastAsia="宋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476" w:type="dxa"/>
            <w:vAlign w:val="top"/>
          </w:tcPr>
          <w:p w14:paraId="58ED84AB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本项满分10分，根据供应商所提供的项目总体方案构想中，对“世遗泉州 时尚之都”最炫SHOW场宣传片拍摄制作项目的总体把握、项目类型熟悉及策划思路的整体构思等情况，由评审小组进行评审：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/>
                <w:sz w:val="24"/>
                <w:szCs w:val="24"/>
                <w:lang w:val="en-US" w:eastAsia="zh-CN"/>
              </w:rPr>
              <w:t>① 提供的项目总体理解基本符合项目需求，得5分；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/>
                <w:sz w:val="24"/>
                <w:szCs w:val="24"/>
                <w:lang w:val="en-US" w:eastAsia="zh-CN"/>
              </w:rPr>
              <w:t>② 在满足①的基础上，方案内容详实完整，能紧密结合泉州“世遗”特色与时尚元素，提出具有创新性和前瞻性的策划思路，得8分；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/>
                <w:sz w:val="24"/>
                <w:szCs w:val="24"/>
                <w:lang w:val="en-US" w:eastAsia="zh-CN"/>
              </w:rPr>
              <w:t>③ 在满足①和②的基础上，方案还能对项目的长期影响与品牌建设提出独到见解，得10分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</w:t>
            </w:r>
          </w:p>
        </w:tc>
      </w:tr>
      <w:tr w14:paraId="598F0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1405" w:type="dxa"/>
            <w:vAlign w:val="center"/>
          </w:tcPr>
          <w:p w14:paraId="619E865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1-2</w:t>
            </w:r>
          </w:p>
          <w:p w14:paraId="2B8976D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模特邀请与服装租赁方案</w:t>
            </w:r>
          </w:p>
        </w:tc>
        <w:tc>
          <w:tcPr>
            <w:tcW w:w="682" w:type="dxa"/>
            <w:vAlign w:val="center"/>
          </w:tcPr>
          <w:p w14:paraId="7CCB275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476" w:type="dxa"/>
            <w:vAlign w:val="top"/>
          </w:tcPr>
          <w:p w14:paraId="071AA90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本项满分20分，根据供应商提供的模特邀请及服装租赁方案，由评审小组进行评审：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 提供的方案中模特数量、性别比例符合项目基本需求（2男2女）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得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 在满足①的基础上，模特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还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具备丰富的大型时尚秀场走秀经历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，或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国内主流时尚盛典或影视拍摄参与经验，形象气质与专业素养俱佳，得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③ 在满足①和②的基础上，方案还提出针对不同模特特点与服装风格的搭配建议，并附有模特过往走秀视频或照片作为参考，得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20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</w:tr>
      <w:tr w14:paraId="268E13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1" w:hRule="atLeast"/>
        </w:trPr>
        <w:tc>
          <w:tcPr>
            <w:tcW w:w="1405" w:type="dxa"/>
            <w:vAlign w:val="center"/>
          </w:tcPr>
          <w:p w14:paraId="0F0C5DA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1-3</w:t>
            </w:r>
          </w:p>
          <w:p w14:paraId="13257EC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H5平台搭建方案</w:t>
            </w:r>
          </w:p>
        </w:tc>
        <w:tc>
          <w:tcPr>
            <w:tcW w:w="682" w:type="dxa"/>
            <w:vAlign w:val="center"/>
          </w:tcPr>
          <w:p w14:paraId="189902F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7476" w:type="dxa"/>
            <w:vAlign w:val="top"/>
          </w:tcPr>
          <w:p w14:paraId="45DA2D46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本项满分1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分，根据供应商提供的H5平台搭建方案，由评审小组进行评审：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 提供的方案符合项目基本需求，能搭建基本的H5页面，得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 在满足①的基础上，方案包含H5平台的运营策略与网络投流计划，且注重用户体验，设计美观，得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10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③ 在满足①和②的基础上，方案互动性强，能有效吸引用户参与，提出针对不同用户群体的个性化推广策略，并提出数据监测与分析机制，以便持续优化H5平台效果，得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15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</w:tr>
      <w:tr w14:paraId="73B17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1" w:hRule="atLeast"/>
        </w:trPr>
        <w:tc>
          <w:tcPr>
            <w:tcW w:w="1405" w:type="dxa"/>
            <w:vAlign w:val="center"/>
          </w:tcPr>
          <w:p w14:paraId="160FF31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1-4</w:t>
            </w:r>
          </w:p>
          <w:p w14:paraId="35AD4A4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评审场地布置方案</w:t>
            </w:r>
          </w:p>
        </w:tc>
        <w:tc>
          <w:tcPr>
            <w:tcW w:w="682" w:type="dxa"/>
            <w:vAlign w:val="center"/>
          </w:tcPr>
          <w:p w14:paraId="292DBC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7476" w:type="dxa"/>
            <w:vAlign w:val="top"/>
          </w:tcPr>
          <w:p w14:paraId="2CCC037A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本项满分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分，根据供应商提供的评审场地布置方案，由评审小组进行评审：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 提供的方案符合项目基本需求，包括背景喷绘、舞美制作、场地租赁布置等基本内容，得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 在满足①的基础上，方案还注重灯光音响的租赁与配置，确保评审现场氛围良好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，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且提出应急预案以应对可能出现的突发情况，得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</w:tr>
      <w:tr w14:paraId="74030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7" w:hRule="atLeast"/>
        </w:trPr>
        <w:tc>
          <w:tcPr>
            <w:tcW w:w="1405" w:type="dxa"/>
            <w:vAlign w:val="center"/>
          </w:tcPr>
          <w:p w14:paraId="3D83CEE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1-5</w:t>
            </w:r>
          </w:p>
          <w:p w14:paraId="4CBEA7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专业设备配置</w:t>
            </w:r>
          </w:p>
          <w:p w14:paraId="09CA8A8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82" w:type="dxa"/>
            <w:vAlign w:val="center"/>
          </w:tcPr>
          <w:p w14:paraId="3906F4E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7476" w:type="dxa"/>
            <w:vAlign w:val="top"/>
          </w:tcPr>
          <w:p w14:paraId="2E75D7B1">
            <w:pPr>
              <w:pStyle w:val="1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本项满分20分，根据供应商提供的用于本项目的摄影、制作设备清单由评审小组进行评分：</w:t>
            </w:r>
          </w:p>
          <w:p w14:paraId="60428600">
            <w:pPr>
              <w:pStyle w:val="1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①提供的设备清单符基本的高清拍摄和制作需求，得10分；</w:t>
            </w:r>
          </w:p>
          <w:p w14:paraId="24A0121C">
            <w:pPr>
              <w:pStyle w:val="1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②提供的设备清单在满足①的基础上，摄影机系统支持 4K（3840×2160）及以上分辨率，最高帧率不低于120fps（4K Open Gate模式下）得15分；</w:t>
            </w:r>
          </w:p>
          <w:p w14:paraId="59ED67FB">
            <w:pPr>
              <w:pStyle w:val="1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③提供的设备清单在满足①和②的基础上，提供的灯具支持2700K-6500K色温调节，CRI/TLCI≥95，确保色彩还原准确，得20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分。</w:t>
            </w:r>
          </w:p>
          <w:p w14:paraId="65B03129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注：须提供制作设备及拍摄设备品牌、型号、技术指标、设备清单等。</w:t>
            </w:r>
          </w:p>
        </w:tc>
      </w:tr>
      <w:tr w14:paraId="101405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405" w:type="dxa"/>
            <w:vAlign w:val="center"/>
          </w:tcPr>
          <w:p w14:paraId="308BA38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1-6</w:t>
            </w:r>
          </w:p>
          <w:p w14:paraId="77871FA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供应商资质情况</w:t>
            </w:r>
          </w:p>
        </w:tc>
        <w:tc>
          <w:tcPr>
            <w:tcW w:w="682" w:type="dxa"/>
            <w:vAlign w:val="center"/>
          </w:tcPr>
          <w:p w14:paraId="75D9EF8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7476" w:type="dxa"/>
            <w:vAlign w:val="top"/>
          </w:tcPr>
          <w:p w14:paraId="15FEABAD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本项满分15分，根据供应商提供的过往视频摄制服务项目业绩及获奖情况，由评审小组进行评审：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 供应商有为政府部门、社会团体或企业服务的项目经验，能提供相关合同或证明文件，不少于5项，得4分；</w:t>
            </w:r>
          </w:p>
          <w:p w14:paraId="18201BEC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 供应商有为政府部门、社会团体或企业服务的项目经验，能提供相关合同或证明文件，不少于10项，得8分；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③在满足①和②的基础上，供应商在过往项目中获得行业奖项或政府表彰，按如下标准得分：获得国家级奖项的，每提供1个得2分；获得过省级奖项的，每提供1个得1分；获得过市级奖项的，每提供1个得0.5分；未提供或提供的不符合项目需求的不得分。最高累计至满分为止。</w:t>
            </w:r>
          </w:p>
          <w:p w14:paraId="75347A49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注：需提供作品获奖证书复印件。</w:t>
            </w:r>
          </w:p>
        </w:tc>
      </w:tr>
      <w:tr w14:paraId="54DD7A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3" w:hRule="atLeast"/>
        </w:trPr>
        <w:tc>
          <w:tcPr>
            <w:tcW w:w="1405" w:type="dxa"/>
            <w:vAlign w:val="center"/>
          </w:tcPr>
          <w:p w14:paraId="0BD33CD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1-7</w:t>
            </w:r>
          </w:p>
          <w:p w14:paraId="323B6BA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专家评审团邀请方案</w:t>
            </w:r>
          </w:p>
        </w:tc>
        <w:tc>
          <w:tcPr>
            <w:tcW w:w="682" w:type="dxa"/>
            <w:vAlign w:val="center"/>
          </w:tcPr>
          <w:p w14:paraId="3483D7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both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7476" w:type="dxa"/>
            <w:vAlign w:val="top"/>
          </w:tcPr>
          <w:p w14:paraId="12001D9C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本项满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分5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分，根据供应商提供的专家评审团邀请方案，由评审小组进行评审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：</w:t>
            </w: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① 提供的方案中专家数量不少于12人，得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分；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② 在满足①的基础上，专家团队构成合理，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符合项目要求，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涵盖不同领域与专业背景，得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分</w:t>
            </w:r>
            <w:r>
              <w:rPr>
                <w:rFonts w:hint="eastAsia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。</w:t>
            </w:r>
          </w:p>
        </w:tc>
      </w:tr>
    </w:tbl>
    <w:p w14:paraId="1FD95764"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line="400" w:lineRule="exact"/>
        <w:ind w:left="0" w:right="0"/>
        <w:jc w:val="both"/>
        <w:rPr>
          <w:rFonts w:hint="eastAsia" w:ascii="微软雅黑" w:hAnsi="微软雅黑" w:eastAsia="微软雅黑" w:cs="微软雅黑"/>
          <w:spacing w:val="-1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pacing w:val="-1"/>
          <w:sz w:val="24"/>
          <w:szCs w:val="24"/>
          <w:lang w:val="en-US" w:eastAsia="zh-CN"/>
        </w:rPr>
        <w:t>2.价格分（满分  10   分）</w:t>
      </w:r>
    </w:p>
    <w:tbl>
      <w:tblPr>
        <w:tblStyle w:val="12"/>
        <w:tblW w:w="956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707"/>
        <w:gridCol w:w="8124"/>
      </w:tblGrid>
      <w:tr w14:paraId="613B3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732" w:type="dxa"/>
            <w:vAlign w:val="top"/>
          </w:tcPr>
          <w:p w14:paraId="5E9814F2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2"/>
                <w:sz w:val="22"/>
                <w:szCs w:val="22"/>
              </w:rPr>
              <w:t>评标</w:t>
            </w:r>
          </w:p>
          <w:p w14:paraId="4B8F73C1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1"/>
                <w:position w:val="-2"/>
                <w:sz w:val="22"/>
                <w:szCs w:val="22"/>
              </w:rPr>
              <w:t>项目</w:t>
            </w:r>
          </w:p>
        </w:tc>
        <w:tc>
          <w:tcPr>
            <w:tcW w:w="707" w:type="dxa"/>
            <w:vAlign w:val="top"/>
          </w:tcPr>
          <w:p w14:paraId="70AF111E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2"/>
                <w:sz w:val="22"/>
                <w:szCs w:val="22"/>
              </w:rPr>
              <w:t>评标</w:t>
            </w:r>
          </w:p>
          <w:p w14:paraId="5F76EF12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1"/>
                <w:sz w:val="22"/>
                <w:szCs w:val="22"/>
              </w:rPr>
              <w:t>分值</w:t>
            </w:r>
          </w:p>
        </w:tc>
        <w:tc>
          <w:tcPr>
            <w:tcW w:w="8124" w:type="dxa"/>
            <w:vAlign w:val="top"/>
          </w:tcPr>
          <w:p w14:paraId="60321BCF">
            <w:pPr>
              <w:pStyle w:val="13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rPr>
                <w:color w:val="auto"/>
                <w:sz w:val="22"/>
                <w:szCs w:val="22"/>
              </w:rPr>
            </w:pPr>
            <w:r>
              <w:rPr>
                <w:b/>
                <w:bCs/>
                <w:color w:val="auto"/>
                <w:spacing w:val="-1"/>
                <w:sz w:val="22"/>
                <w:szCs w:val="22"/>
              </w:rPr>
              <w:t>评标方案描述</w:t>
            </w:r>
          </w:p>
        </w:tc>
      </w:tr>
      <w:tr w14:paraId="7C9DD6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732" w:type="dxa"/>
            <w:vAlign w:val="center"/>
          </w:tcPr>
          <w:p w14:paraId="698D050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  <w:t>2-1</w:t>
            </w:r>
          </w:p>
        </w:tc>
        <w:tc>
          <w:tcPr>
            <w:tcW w:w="707" w:type="dxa"/>
            <w:vAlign w:val="center"/>
          </w:tcPr>
          <w:p w14:paraId="38699F5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default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124" w:type="dxa"/>
            <w:vAlign w:val="center"/>
          </w:tcPr>
          <w:p w14:paraId="57B1835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400" w:lineRule="exact"/>
              <w:ind w:left="0" w:right="0"/>
              <w:jc w:val="center"/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各有效报价得分=（最低有效报价 ÷各供应商有效投标报价） </w:t>
            </w:r>
            <w:r>
              <w:rPr>
                <w:rFonts w:hint="eastAsia" w:eastAsia="宋体" w:cs="Arial"/>
                <w:color w:val="auto"/>
                <w:spacing w:val="6"/>
                <w:sz w:val="24"/>
                <w:szCs w:val="24"/>
                <w:lang w:val="en-US" w:eastAsia="zh-CN"/>
              </w:rPr>
              <w:t>×10。</w:t>
            </w:r>
          </w:p>
        </w:tc>
      </w:tr>
    </w:tbl>
    <w:p w14:paraId="366935AB">
      <w:pPr>
        <w:keepNext w:val="0"/>
        <w:keepLines w:val="0"/>
        <w:pageBreakBefore w:val="0"/>
        <w:tabs>
          <w:tab w:val="left" w:pos="4189"/>
        </w:tabs>
        <w:wordWrap/>
        <w:overflowPunct/>
        <w:topLinePunct w:val="0"/>
        <w:bidi w:val="0"/>
        <w:spacing w:line="400" w:lineRule="exact"/>
        <w:ind w:left="0" w:right="0"/>
        <w:jc w:val="left"/>
        <w:rPr>
          <w:rFonts w:hint="eastAsia" w:eastAsia="宋体"/>
          <w:sz w:val="20"/>
          <w:szCs w:val="20"/>
          <w:lang w:val="en-US" w:eastAsia="zh-CN"/>
        </w:rPr>
      </w:pPr>
    </w:p>
    <w:sectPr>
      <w:footerReference r:id="rId5" w:type="default"/>
      <w:pgSz w:w="11907" w:h="16838"/>
      <w:pgMar w:top="1431" w:right="755" w:bottom="1402" w:left="1311" w:header="0" w:footer="1137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0ADBE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757F48"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 w:eastAsia="宋体"/>
                              <w:lang w:val="en-US" w:eastAsia="zh-CN"/>
                            </w:rPr>
                            <w:t>1</w:t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757F48"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hint="eastAsia" w:eastAsia="宋体"/>
                        <w:lang w:val="en-US" w:eastAsia="zh-CN"/>
                      </w:rPr>
                      <w:t>1</w:t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7E05DE"/>
    <w:rsid w:val="015E6DD6"/>
    <w:rsid w:val="019404F8"/>
    <w:rsid w:val="03B2491D"/>
    <w:rsid w:val="04014A5F"/>
    <w:rsid w:val="05355B4E"/>
    <w:rsid w:val="055A3B91"/>
    <w:rsid w:val="05B1769D"/>
    <w:rsid w:val="05DB4E49"/>
    <w:rsid w:val="07E86EA8"/>
    <w:rsid w:val="087A0447"/>
    <w:rsid w:val="0995305F"/>
    <w:rsid w:val="09CF031F"/>
    <w:rsid w:val="09DD1454"/>
    <w:rsid w:val="0BD41FBA"/>
    <w:rsid w:val="0C0A3707"/>
    <w:rsid w:val="0CC76F8A"/>
    <w:rsid w:val="0DEC0073"/>
    <w:rsid w:val="0E06452B"/>
    <w:rsid w:val="0E0E518E"/>
    <w:rsid w:val="122C23FF"/>
    <w:rsid w:val="124A6FB7"/>
    <w:rsid w:val="128070BC"/>
    <w:rsid w:val="12C624DB"/>
    <w:rsid w:val="137D0DEC"/>
    <w:rsid w:val="152D6842"/>
    <w:rsid w:val="165A3666"/>
    <w:rsid w:val="188C387F"/>
    <w:rsid w:val="1B06416D"/>
    <w:rsid w:val="1C033E58"/>
    <w:rsid w:val="1CA23EF2"/>
    <w:rsid w:val="1D022362"/>
    <w:rsid w:val="1E592455"/>
    <w:rsid w:val="1E967206"/>
    <w:rsid w:val="213D1BBA"/>
    <w:rsid w:val="214271D1"/>
    <w:rsid w:val="219C0FD7"/>
    <w:rsid w:val="21F96419"/>
    <w:rsid w:val="22B91715"/>
    <w:rsid w:val="22D43A35"/>
    <w:rsid w:val="247F2B3F"/>
    <w:rsid w:val="2526307B"/>
    <w:rsid w:val="26AF12C1"/>
    <w:rsid w:val="2728794E"/>
    <w:rsid w:val="27475541"/>
    <w:rsid w:val="2858552C"/>
    <w:rsid w:val="28A10C81"/>
    <w:rsid w:val="2A3F69A3"/>
    <w:rsid w:val="2A9C5BA4"/>
    <w:rsid w:val="2B4A6D4E"/>
    <w:rsid w:val="2CBE0D32"/>
    <w:rsid w:val="2CEF4A11"/>
    <w:rsid w:val="2D157E8F"/>
    <w:rsid w:val="2D8F33A6"/>
    <w:rsid w:val="2DBA2F11"/>
    <w:rsid w:val="2DEE4968"/>
    <w:rsid w:val="2E677164"/>
    <w:rsid w:val="2F067A90"/>
    <w:rsid w:val="31A87524"/>
    <w:rsid w:val="32A55811"/>
    <w:rsid w:val="32BF657F"/>
    <w:rsid w:val="337F4CF1"/>
    <w:rsid w:val="33DF19D5"/>
    <w:rsid w:val="34515C51"/>
    <w:rsid w:val="34805E7B"/>
    <w:rsid w:val="34DB551B"/>
    <w:rsid w:val="35CC5A17"/>
    <w:rsid w:val="36511F38"/>
    <w:rsid w:val="370C5E5F"/>
    <w:rsid w:val="37F05781"/>
    <w:rsid w:val="386C7129"/>
    <w:rsid w:val="3ADC5C91"/>
    <w:rsid w:val="3B8C609D"/>
    <w:rsid w:val="3BB14054"/>
    <w:rsid w:val="3C5F2ED5"/>
    <w:rsid w:val="3C7324DC"/>
    <w:rsid w:val="3D7A7FC6"/>
    <w:rsid w:val="3DE27A1E"/>
    <w:rsid w:val="408B4355"/>
    <w:rsid w:val="41FC2EA7"/>
    <w:rsid w:val="43A833B4"/>
    <w:rsid w:val="460F771A"/>
    <w:rsid w:val="466C06C8"/>
    <w:rsid w:val="46CC1167"/>
    <w:rsid w:val="490F596F"/>
    <w:rsid w:val="49116DC6"/>
    <w:rsid w:val="49A34401"/>
    <w:rsid w:val="4BA57FE8"/>
    <w:rsid w:val="4BB950E9"/>
    <w:rsid w:val="4CCC71E6"/>
    <w:rsid w:val="4D5863F1"/>
    <w:rsid w:val="4ED4505D"/>
    <w:rsid w:val="50B845C6"/>
    <w:rsid w:val="51EC631D"/>
    <w:rsid w:val="52021EE1"/>
    <w:rsid w:val="52E224E5"/>
    <w:rsid w:val="54081BD7"/>
    <w:rsid w:val="540C6827"/>
    <w:rsid w:val="54DE09E3"/>
    <w:rsid w:val="563B6165"/>
    <w:rsid w:val="56C7389D"/>
    <w:rsid w:val="577D1BCC"/>
    <w:rsid w:val="59452564"/>
    <w:rsid w:val="594F3C5E"/>
    <w:rsid w:val="5A3A01CF"/>
    <w:rsid w:val="5ACD5782"/>
    <w:rsid w:val="5C853E3A"/>
    <w:rsid w:val="5D3778FE"/>
    <w:rsid w:val="5E0170D4"/>
    <w:rsid w:val="5F0454EA"/>
    <w:rsid w:val="5F915C9F"/>
    <w:rsid w:val="607C7302"/>
    <w:rsid w:val="60DB227B"/>
    <w:rsid w:val="623179F8"/>
    <w:rsid w:val="62F675F7"/>
    <w:rsid w:val="6309608B"/>
    <w:rsid w:val="639C3F43"/>
    <w:rsid w:val="63E678B4"/>
    <w:rsid w:val="63EF08D9"/>
    <w:rsid w:val="643225DB"/>
    <w:rsid w:val="652F7039"/>
    <w:rsid w:val="665A5356"/>
    <w:rsid w:val="66967370"/>
    <w:rsid w:val="67AE2497"/>
    <w:rsid w:val="683F3225"/>
    <w:rsid w:val="69020CEC"/>
    <w:rsid w:val="6A574619"/>
    <w:rsid w:val="6A6432E1"/>
    <w:rsid w:val="6A701C86"/>
    <w:rsid w:val="6BA8544F"/>
    <w:rsid w:val="6CAA71E5"/>
    <w:rsid w:val="6CD35563"/>
    <w:rsid w:val="6CDC3602"/>
    <w:rsid w:val="6E5C3316"/>
    <w:rsid w:val="6F3B58A0"/>
    <w:rsid w:val="6FD64C81"/>
    <w:rsid w:val="70160E5A"/>
    <w:rsid w:val="7023779A"/>
    <w:rsid w:val="70A82764"/>
    <w:rsid w:val="70E17E18"/>
    <w:rsid w:val="741B6A34"/>
    <w:rsid w:val="762B656B"/>
    <w:rsid w:val="766F7295"/>
    <w:rsid w:val="783D32AF"/>
    <w:rsid w:val="78A04390"/>
    <w:rsid w:val="795135CA"/>
    <w:rsid w:val="79AF2581"/>
    <w:rsid w:val="7A6D61E2"/>
    <w:rsid w:val="7AF27FBE"/>
    <w:rsid w:val="7B085799"/>
    <w:rsid w:val="7BA774D1"/>
    <w:rsid w:val="7CFC230E"/>
    <w:rsid w:val="7D690EE2"/>
    <w:rsid w:val="7F0F7867"/>
    <w:rsid w:val="7F4514DB"/>
    <w:rsid w:val="7FBD72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Balloon Text"/>
    <w:basedOn w:val="1"/>
    <w:qFormat/>
    <w:uiPriority w:val="0"/>
    <w:rPr>
      <w:sz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customStyle="1" w:styleId="14">
    <w:name w:val="null3"/>
    <w:qFormat/>
    <w:uiPriority w:val="0"/>
    <w:rPr>
      <w:rFonts w:hint="eastAsia" w:ascii="Times New Roman" w:hAnsi="Times New Roman" w:eastAsia="宋体" w:cs="Times New Roman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1506</Words>
  <Characters>1603</Characters>
  <TotalTime>0</TotalTime>
  <ScaleCrop>false</ScaleCrop>
  <LinksUpToDate>false</LinksUpToDate>
  <CharactersWithSpaces>1633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2025-11-13T08:15:00Z</dcterms:created>
  <dc:creator>YlmF</dc:creator>
  <cp:lastModifiedBy>pengpeng</cp:lastModifiedBy>
  <dcterms:modified xsi:type="dcterms:W3CDTF">2026-03-09T09:02:08Z</dcterms:modified>
  <dc:title>目   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2025-11-13T11:33:06Z</vt:filetime>
  </property>
  <property fmtid="{D5CDD505-2E9C-101B-9397-08002B2CF9AE}" pid="4" name="KSOTemplateDocerSaveRecord">
    <vt:lpwstr>eyJoZGlkIjoiZGQ0MTczNWRhY2NkYWUwNWE2M2Y2MzYxNWRjYTE0NDUiLCJ1c2VySWQiOiI1NjI0MzA4NjQifQ==</vt:lpwstr>
  </property>
  <property fmtid="{D5CDD505-2E9C-101B-9397-08002B2CF9AE}" pid="5" name="KSOProductBuildVer">
    <vt:lpwstr>2052-12.1.0.25225</vt:lpwstr>
  </property>
  <property fmtid="{D5CDD505-2E9C-101B-9397-08002B2CF9AE}" pid="6" name="ICV">
    <vt:lpwstr>669EC1ED65F045AB881CDEC594FA7C86_13</vt:lpwstr>
  </property>
</Properties>
</file>