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9AE36D">
      <w:pPr>
        <w:autoSpaceDE w:val="0"/>
        <w:autoSpaceDN w:val="0"/>
        <w:adjustRightInd w:val="0"/>
        <w:ind w:firstLine="420"/>
        <w:jc w:val="center"/>
        <w:rPr>
          <w:rFonts w:hint="default" w:eastAsiaTheme="minorEastAsia"/>
          <w:b/>
          <w:bCs/>
          <w:sz w:val="32"/>
          <w:szCs w:val="32"/>
          <w:lang w:val="en-US" w:eastAsia="zh-CN"/>
        </w:rPr>
      </w:pPr>
      <w:r>
        <w:rPr>
          <w:rFonts w:hint="eastAsia"/>
          <w:b/>
          <w:bCs/>
          <w:sz w:val="32"/>
          <w:szCs w:val="32"/>
          <w:lang w:val="en-US" w:eastAsia="zh-CN"/>
        </w:rPr>
        <w:t>媒资库扩容采购项目资格及技术商务要求</w:t>
      </w:r>
    </w:p>
    <w:p w14:paraId="487F22D2">
      <w:pPr>
        <w:autoSpaceDE w:val="0"/>
        <w:autoSpaceDN w:val="0"/>
        <w:adjustRightInd w:val="0"/>
        <w:ind w:firstLine="420"/>
        <w:jc w:val="left"/>
        <w:rPr>
          <w:rFonts w:hint="eastAsia" w:ascii="仿宋" w:hAnsi="仿宋" w:eastAsia="仿宋" w:cstheme="minorBidi"/>
          <w:kern w:val="2"/>
          <w:sz w:val="30"/>
          <w:szCs w:val="30"/>
          <w:lang w:val="en-US" w:eastAsia="zh-CN" w:bidi="ar-SA"/>
        </w:rPr>
      </w:pPr>
      <w:r>
        <w:rPr>
          <w:rFonts w:hint="eastAsia" w:ascii="仿宋" w:hAnsi="仿宋" w:eastAsia="仿宋" w:cstheme="minorBidi"/>
          <w:kern w:val="2"/>
          <w:sz w:val="30"/>
          <w:szCs w:val="30"/>
          <w:lang w:val="en-US" w:eastAsia="zh-CN" w:bidi="ar-SA"/>
        </w:rPr>
        <w:t>我台于2021年采购的媒体资产管理系统光盘库，为满足后续媒资业务正常运行，现拟采购扩展柜及其光盘。扩容应在不影响原有业务的情况下进行无感升级，扩容升级后原有媒资系统存储池中可添加新扩容部分容量进行分配。</w:t>
      </w:r>
    </w:p>
    <w:p w14:paraId="554F0A4D">
      <w:pPr>
        <w:pStyle w:val="9"/>
        <w:numPr>
          <w:ilvl w:val="0"/>
          <w:numId w:val="1"/>
        </w:numPr>
        <w:ind w:firstLineChars="0"/>
        <w:rPr>
          <w:rFonts w:ascii="仿宋" w:hAnsi="仿宋" w:eastAsia="仿宋"/>
          <w:sz w:val="30"/>
          <w:szCs w:val="30"/>
        </w:rPr>
      </w:pPr>
      <w:r>
        <w:rPr>
          <w:rFonts w:hint="eastAsia" w:ascii="仿宋" w:hAnsi="仿宋" w:eastAsia="仿宋"/>
          <w:sz w:val="30"/>
          <w:szCs w:val="30"/>
        </w:rPr>
        <w:t>项目名称：</w:t>
      </w:r>
      <w:r>
        <w:rPr>
          <w:rFonts w:hint="eastAsia" w:ascii="仿宋" w:hAnsi="仿宋" w:eastAsia="仿宋"/>
          <w:sz w:val="30"/>
          <w:szCs w:val="30"/>
          <w:lang w:val="en-US" w:eastAsia="zh-CN"/>
        </w:rPr>
        <w:t>媒资库扩容</w:t>
      </w:r>
      <w:r>
        <w:rPr>
          <w:rFonts w:hint="eastAsia" w:ascii="仿宋" w:hAnsi="仿宋" w:eastAsia="仿宋"/>
          <w:sz w:val="30"/>
          <w:szCs w:val="30"/>
        </w:rPr>
        <w:t>采购</w:t>
      </w:r>
    </w:p>
    <w:p w14:paraId="1428FB47">
      <w:pPr>
        <w:pStyle w:val="9"/>
        <w:numPr>
          <w:ilvl w:val="0"/>
          <w:numId w:val="1"/>
        </w:numPr>
        <w:ind w:firstLineChars="0"/>
        <w:rPr>
          <w:rFonts w:ascii="仿宋" w:hAnsi="仿宋" w:eastAsia="仿宋"/>
          <w:sz w:val="30"/>
          <w:szCs w:val="30"/>
        </w:rPr>
      </w:pPr>
      <w:r>
        <w:rPr>
          <w:rFonts w:hint="eastAsia" w:ascii="仿宋" w:hAnsi="仿宋" w:eastAsia="仿宋"/>
          <w:sz w:val="30"/>
          <w:szCs w:val="30"/>
        </w:rPr>
        <w:t>采购公告日期： 202</w:t>
      </w:r>
      <w:r>
        <w:rPr>
          <w:rFonts w:hint="eastAsia" w:ascii="仿宋" w:hAnsi="仿宋" w:eastAsia="仿宋"/>
          <w:sz w:val="30"/>
          <w:szCs w:val="30"/>
          <w:lang w:val="en-US" w:eastAsia="zh-CN"/>
        </w:rPr>
        <w:t>5</w:t>
      </w:r>
      <w:r>
        <w:rPr>
          <w:rFonts w:hint="eastAsia" w:ascii="仿宋" w:hAnsi="仿宋" w:eastAsia="仿宋"/>
          <w:sz w:val="30"/>
          <w:szCs w:val="30"/>
        </w:rPr>
        <w:t>年</w:t>
      </w:r>
      <w:r>
        <w:rPr>
          <w:rFonts w:hint="eastAsia" w:ascii="仿宋" w:hAnsi="仿宋" w:eastAsia="仿宋"/>
          <w:sz w:val="30"/>
          <w:szCs w:val="30"/>
          <w:lang w:val="en-US" w:eastAsia="zh-CN"/>
        </w:rPr>
        <w:t>11</w:t>
      </w:r>
      <w:r>
        <w:rPr>
          <w:rFonts w:hint="eastAsia" w:ascii="仿宋" w:hAnsi="仿宋" w:eastAsia="仿宋"/>
          <w:sz w:val="30"/>
          <w:szCs w:val="30"/>
        </w:rPr>
        <w:t xml:space="preserve"> 月2</w:t>
      </w:r>
      <w:r>
        <w:rPr>
          <w:rFonts w:hint="eastAsia" w:ascii="仿宋" w:hAnsi="仿宋" w:eastAsia="仿宋"/>
          <w:sz w:val="30"/>
          <w:szCs w:val="30"/>
          <w:lang w:val="en-US" w:eastAsia="zh-CN"/>
        </w:rPr>
        <w:t>7</w:t>
      </w:r>
      <w:r>
        <w:rPr>
          <w:rFonts w:hint="eastAsia" w:ascii="仿宋" w:hAnsi="仿宋" w:eastAsia="仿宋"/>
          <w:sz w:val="30"/>
          <w:szCs w:val="30"/>
        </w:rPr>
        <w:t>日至202</w:t>
      </w:r>
      <w:r>
        <w:rPr>
          <w:rFonts w:hint="eastAsia" w:ascii="仿宋" w:hAnsi="仿宋" w:eastAsia="仿宋"/>
          <w:sz w:val="30"/>
          <w:szCs w:val="30"/>
          <w:lang w:val="en-US" w:eastAsia="zh-CN"/>
        </w:rPr>
        <w:t>5</w:t>
      </w:r>
      <w:r>
        <w:rPr>
          <w:rFonts w:hint="eastAsia" w:ascii="仿宋" w:hAnsi="仿宋" w:eastAsia="仿宋"/>
          <w:sz w:val="30"/>
          <w:szCs w:val="30"/>
        </w:rPr>
        <w:t>年</w:t>
      </w:r>
      <w:r>
        <w:rPr>
          <w:rFonts w:hint="eastAsia" w:ascii="仿宋" w:hAnsi="仿宋" w:eastAsia="仿宋"/>
          <w:sz w:val="30"/>
          <w:szCs w:val="30"/>
          <w:lang w:val="en-US" w:eastAsia="zh-CN"/>
        </w:rPr>
        <w:t>12</w:t>
      </w:r>
      <w:r>
        <w:rPr>
          <w:rFonts w:hint="eastAsia" w:ascii="仿宋" w:hAnsi="仿宋" w:eastAsia="仿宋"/>
          <w:sz w:val="30"/>
          <w:szCs w:val="30"/>
        </w:rPr>
        <w:t>月</w:t>
      </w:r>
      <w:r>
        <w:rPr>
          <w:rFonts w:hint="eastAsia" w:ascii="仿宋" w:hAnsi="仿宋" w:eastAsia="仿宋"/>
          <w:sz w:val="30"/>
          <w:szCs w:val="30"/>
          <w:lang w:val="en-US" w:eastAsia="zh-CN"/>
        </w:rPr>
        <w:t>5</w:t>
      </w:r>
      <w:r>
        <w:rPr>
          <w:rFonts w:hint="eastAsia" w:ascii="仿宋" w:hAnsi="仿宋" w:eastAsia="仿宋"/>
          <w:sz w:val="30"/>
          <w:szCs w:val="30"/>
        </w:rPr>
        <w:t>日</w:t>
      </w:r>
    </w:p>
    <w:p w14:paraId="3CA7C611">
      <w:pPr>
        <w:pStyle w:val="9"/>
        <w:numPr>
          <w:ilvl w:val="0"/>
          <w:numId w:val="1"/>
        </w:numPr>
        <w:ind w:firstLineChars="0"/>
        <w:rPr>
          <w:rFonts w:ascii="仿宋" w:hAnsi="仿宋" w:eastAsia="仿宋"/>
          <w:sz w:val="30"/>
          <w:szCs w:val="30"/>
        </w:rPr>
      </w:pPr>
      <w:r>
        <w:rPr>
          <w:rFonts w:hint="eastAsia" w:ascii="仿宋" w:hAnsi="仿宋" w:eastAsia="仿宋"/>
          <w:sz w:val="30"/>
          <w:szCs w:val="30"/>
        </w:rPr>
        <w:t>采购方式：公开招标（最低价中标）</w:t>
      </w:r>
    </w:p>
    <w:p w14:paraId="3DCBD443">
      <w:pPr>
        <w:pStyle w:val="9"/>
        <w:numPr>
          <w:ilvl w:val="0"/>
          <w:numId w:val="1"/>
        </w:numPr>
        <w:ind w:firstLineChars="0"/>
        <w:rPr>
          <w:rFonts w:ascii="仿宋" w:hAnsi="仿宋" w:eastAsia="仿宋"/>
          <w:sz w:val="30"/>
          <w:szCs w:val="30"/>
        </w:rPr>
      </w:pPr>
      <w:r>
        <w:rPr>
          <w:rFonts w:hint="eastAsia" w:ascii="仿宋" w:hAnsi="仿宋" w:eastAsia="仿宋"/>
          <w:sz w:val="30"/>
          <w:szCs w:val="30"/>
        </w:rPr>
        <w:t>最高限价：人民币</w:t>
      </w:r>
      <w:r>
        <w:rPr>
          <w:rFonts w:hint="eastAsia" w:ascii="仿宋" w:hAnsi="仿宋" w:eastAsia="仿宋"/>
          <w:sz w:val="30"/>
          <w:szCs w:val="30"/>
          <w:lang w:val="en-US" w:eastAsia="zh-CN"/>
        </w:rPr>
        <w:t>33</w:t>
      </w:r>
      <w:r>
        <w:rPr>
          <w:rFonts w:hint="eastAsia" w:ascii="仿宋" w:hAnsi="仿宋" w:eastAsia="仿宋"/>
          <w:sz w:val="30"/>
          <w:szCs w:val="30"/>
        </w:rPr>
        <w:t>万元（最高限价为总费用）</w:t>
      </w:r>
    </w:p>
    <w:p w14:paraId="6150887A">
      <w:pPr>
        <w:pStyle w:val="9"/>
        <w:numPr>
          <w:ilvl w:val="0"/>
          <w:numId w:val="1"/>
        </w:numPr>
        <w:ind w:firstLineChars="0"/>
        <w:rPr>
          <w:rFonts w:ascii="仿宋" w:hAnsi="仿宋" w:eastAsia="仿宋"/>
          <w:sz w:val="30"/>
          <w:szCs w:val="30"/>
        </w:rPr>
      </w:pPr>
      <w:r>
        <w:rPr>
          <w:rFonts w:hint="eastAsia" w:ascii="仿宋" w:hAnsi="仿宋" w:eastAsia="仿宋"/>
          <w:sz w:val="30"/>
          <w:szCs w:val="30"/>
        </w:rPr>
        <w:t>供货时间：</w:t>
      </w:r>
      <w:r>
        <w:rPr>
          <w:rFonts w:hint="eastAsia" w:ascii="仿宋" w:hAnsi="仿宋" w:eastAsia="仿宋" w:cstheme="minorBidi"/>
          <w:sz w:val="30"/>
          <w:szCs w:val="30"/>
        </w:rPr>
        <w:t>合同签署后</w:t>
      </w:r>
      <w:r>
        <w:rPr>
          <w:rFonts w:hint="eastAsia" w:ascii="仿宋" w:hAnsi="仿宋" w:eastAsia="仿宋" w:cstheme="minorBidi"/>
          <w:sz w:val="30"/>
          <w:szCs w:val="30"/>
          <w:lang w:val="en-US" w:eastAsia="zh-CN"/>
        </w:rPr>
        <w:t>15</w:t>
      </w:r>
      <w:r>
        <w:rPr>
          <w:rFonts w:hint="eastAsia" w:ascii="仿宋" w:hAnsi="仿宋" w:eastAsia="仿宋" w:cstheme="minorBidi"/>
          <w:sz w:val="30"/>
          <w:szCs w:val="30"/>
        </w:rPr>
        <w:t>个日历日</w:t>
      </w:r>
      <w:r>
        <w:rPr>
          <w:rFonts w:hint="eastAsia" w:ascii="仿宋" w:hAnsi="仿宋" w:eastAsia="仿宋" w:cstheme="minorBidi"/>
          <w:sz w:val="30"/>
          <w:szCs w:val="30"/>
          <w:lang w:val="en-US" w:eastAsia="zh-CN"/>
        </w:rPr>
        <w:t>内交付</w:t>
      </w:r>
    </w:p>
    <w:p w14:paraId="7E1C4F8F">
      <w:pPr>
        <w:pStyle w:val="9"/>
        <w:numPr>
          <w:ilvl w:val="0"/>
          <w:numId w:val="1"/>
        </w:numPr>
        <w:ind w:firstLineChars="0"/>
        <w:rPr>
          <w:rFonts w:ascii="仿宋" w:hAnsi="仿宋" w:eastAsia="仿宋"/>
          <w:sz w:val="30"/>
          <w:szCs w:val="30"/>
        </w:rPr>
      </w:pPr>
      <w:r>
        <w:rPr>
          <w:rFonts w:hint="eastAsia" w:ascii="仿宋" w:hAnsi="仿宋" w:eastAsia="仿宋"/>
          <w:sz w:val="30"/>
          <w:szCs w:val="30"/>
        </w:rPr>
        <w:t>开标时间：</w:t>
      </w:r>
      <w:r>
        <w:rPr>
          <w:rFonts w:ascii="仿宋" w:hAnsi="仿宋" w:eastAsia="仿宋"/>
          <w:sz w:val="30"/>
          <w:szCs w:val="30"/>
        </w:rPr>
        <w:t xml:space="preserve"> </w:t>
      </w:r>
      <w:r>
        <w:rPr>
          <w:rFonts w:hint="eastAsia" w:ascii="仿宋" w:hAnsi="仿宋" w:eastAsia="仿宋"/>
          <w:sz w:val="30"/>
          <w:szCs w:val="30"/>
        </w:rPr>
        <w:t>202</w:t>
      </w:r>
      <w:r>
        <w:rPr>
          <w:rFonts w:hint="eastAsia" w:ascii="仿宋" w:hAnsi="仿宋" w:eastAsia="仿宋"/>
          <w:sz w:val="30"/>
          <w:szCs w:val="30"/>
          <w:lang w:val="en-US" w:eastAsia="zh-CN"/>
        </w:rPr>
        <w:t>5</w:t>
      </w:r>
      <w:r>
        <w:rPr>
          <w:rFonts w:hint="eastAsia" w:ascii="仿宋" w:hAnsi="仿宋" w:eastAsia="仿宋"/>
          <w:sz w:val="30"/>
          <w:szCs w:val="30"/>
        </w:rPr>
        <w:t>年</w:t>
      </w:r>
      <w:r>
        <w:rPr>
          <w:rFonts w:hint="eastAsia" w:ascii="仿宋" w:hAnsi="仿宋" w:eastAsia="仿宋"/>
          <w:sz w:val="30"/>
          <w:szCs w:val="30"/>
          <w:lang w:val="en-US" w:eastAsia="zh-CN"/>
        </w:rPr>
        <w:t>12</w:t>
      </w:r>
      <w:r>
        <w:rPr>
          <w:rFonts w:hint="eastAsia" w:ascii="仿宋" w:hAnsi="仿宋" w:eastAsia="仿宋"/>
          <w:sz w:val="30"/>
          <w:szCs w:val="30"/>
        </w:rPr>
        <w:t xml:space="preserve"> 月 </w:t>
      </w:r>
      <w:r>
        <w:rPr>
          <w:rFonts w:hint="eastAsia" w:ascii="仿宋" w:hAnsi="仿宋" w:eastAsia="仿宋"/>
          <w:sz w:val="30"/>
          <w:szCs w:val="30"/>
          <w:lang w:val="en-US" w:eastAsia="zh-CN"/>
        </w:rPr>
        <w:t>5</w:t>
      </w:r>
      <w:r>
        <w:rPr>
          <w:rFonts w:ascii="仿宋" w:hAnsi="仿宋" w:eastAsia="仿宋"/>
          <w:sz w:val="30"/>
          <w:szCs w:val="30"/>
        </w:rPr>
        <w:t xml:space="preserve"> </w:t>
      </w:r>
      <w:r>
        <w:rPr>
          <w:rFonts w:hint="eastAsia" w:ascii="仿宋" w:hAnsi="仿宋" w:eastAsia="仿宋"/>
          <w:sz w:val="30"/>
          <w:szCs w:val="30"/>
        </w:rPr>
        <w:t xml:space="preserve">日 </w:t>
      </w:r>
      <w:r>
        <w:rPr>
          <w:rFonts w:ascii="仿宋" w:hAnsi="仿宋" w:eastAsia="仿宋"/>
          <w:sz w:val="30"/>
          <w:szCs w:val="30"/>
        </w:rPr>
        <w:t xml:space="preserve">8:45 </w:t>
      </w:r>
      <w:r>
        <w:rPr>
          <w:rFonts w:hint="eastAsia" w:ascii="仿宋" w:hAnsi="仿宋" w:eastAsia="仿宋"/>
          <w:sz w:val="30"/>
          <w:szCs w:val="30"/>
        </w:rPr>
        <w:t>（北京时间）</w:t>
      </w:r>
    </w:p>
    <w:p w14:paraId="0DB87C19">
      <w:pPr>
        <w:pStyle w:val="9"/>
        <w:numPr>
          <w:ilvl w:val="0"/>
          <w:numId w:val="1"/>
        </w:numPr>
        <w:ind w:firstLineChars="0"/>
        <w:rPr>
          <w:rFonts w:ascii="仿宋" w:hAnsi="仿宋" w:eastAsia="仿宋"/>
          <w:sz w:val="30"/>
          <w:szCs w:val="30"/>
        </w:rPr>
      </w:pPr>
      <w:r>
        <w:rPr>
          <w:rFonts w:hint="eastAsia" w:ascii="仿宋" w:hAnsi="仿宋" w:eastAsia="仿宋"/>
          <w:sz w:val="30"/>
          <w:szCs w:val="30"/>
        </w:rPr>
        <w:t>开标地点：丰泽区田淮街66号泉州广播电视台</w:t>
      </w:r>
    </w:p>
    <w:p w14:paraId="7074462A">
      <w:pPr>
        <w:pStyle w:val="9"/>
        <w:numPr>
          <w:ilvl w:val="0"/>
          <w:numId w:val="1"/>
        </w:numPr>
        <w:ind w:firstLineChars="0"/>
        <w:rPr>
          <w:rFonts w:ascii="仿宋" w:hAnsi="仿宋" w:eastAsia="仿宋"/>
          <w:sz w:val="30"/>
          <w:szCs w:val="30"/>
        </w:rPr>
      </w:pPr>
      <w:r>
        <w:rPr>
          <w:rFonts w:hint="eastAsia" w:ascii="仿宋" w:hAnsi="仿宋" w:eastAsia="仿宋"/>
          <w:sz w:val="30"/>
          <w:szCs w:val="30"/>
        </w:rPr>
        <w:t>联 系 人：郑先生    联系电话： 15605953824</w:t>
      </w:r>
    </w:p>
    <w:p w14:paraId="373CB306">
      <w:pPr>
        <w:ind w:firstLine="900" w:firstLineChars="300"/>
        <w:rPr>
          <w:rFonts w:ascii="仿宋" w:hAnsi="仿宋" w:eastAsia="仿宋"/>
          <w:sz w:val="30"/>
          <w:szCs w:val="30"/>
        </w:rPr>
      </w:pPr>
      <w:r>
        <w:rPr>
          <w:rFonts w:hint="eastAsia" w:ascii="仿宋" w:hAnsi="仿宋" w:eastAsia="仿宋"/>
          <w:sz w:val="30"/>
          <w:szCs w:val="30"/>
        </w:rPr>
        <w:t>督查室电话：0595-22155306</w:t>
      </w:r>
    </w:p>
    <w:p w14:paraId="1ADB8C74">
      <w:pPr>
        <w:pStyle w:val="9"/>
        <w:numPr>
          <w:ilvl w:val="0"/>
          <w:numId w:val="1"/>
        </w:numPr>
        <w:ind w:firstLineChars="0"/>
        <w:rPr>
          <w:rFonts w:ascii="仿宋" w:hAnsi="仿宋" w:eastAsia="仿宋"/>
          <w:sz w:val="32"/>
          <w:szCs w:val="32"/>
        </w:rPr>
      </w:pPr>
      <w:r>
        <w:rPr>
          <w:rFonts w:hint="eastAsia" w:ascii="仿宋" w:hAnsi="仿宋" w:eastAsia="仿宋"/>
          <w:sz w:val="30"/>
          <w:szCs w:val="30"/>
        </w:rPr>
        <w:t>标书邮寄地址：泉州市丰泽区</w:t>
      </w:r>
      <w:r>
        <w:rPr>
          <w:rFonts w:hint="eastAsia" w:ascii="仿宋" w:hAnsi="仿宋" w:eastAsia="仿宋"/>
          <w:sz w:val="30"/>
          <w:szCs w:val="30"/>
          <w:lang w:val="en-US" w:eastAsia="zh-CN"/>
        </w:rPr>
        <w:t>田淮街</w:t>
      </w:r>
      <w:r>
        <w:rPr>
          <w:rFonts w:hint="eastAsia" w:ascii="仿宋" w:hAnsi="仿宋" w:eastAsia="仿宋"/>
          <w:sz w:val="30"/>
          <w:szCs w:val="30"/>
        </w:rPr>
        <w:t>66号泉州广播电视台总工办（投标文件须密封，且在密封处加盖投标人公章</w:t>
      </w:r>
      <w:r>
        <w:rPr>
          <w:rFonts w:hint="eastAsia" w:ascii="仿宋" w:hAnsi="仿宋" w:eastAsia="仿宋"/>
          <w:sz w:val="30"/>
          <w:szCs w:val="30"/>
          <w:lang w:eastAsia="zh-CN"/>
        </w:rPr>
        <w:t>，</w:t>
      </w:r>
      <w:r>
        <w:rPr>
          <w:rFonts w:hint="eastAsia" w:ascii="仿宋" w:hAnsi="仿宋" w:eastAsia="仿宋"/>
          <w:sz w:val="30"/>
          <w:szCs w:val="30"/>
          <w:lang w:val="en-US" w:eastAsia="zh-CN"/>
        </w:rPr>
        <w:t>不符合要求为无效投标</w:t>
      </w:r>
      <w:r>
        <w:rPr>
          <w:rFonts w:hint="eastAsia" w:ascii="仿宋" w:hAnsi="仿宋" w:eastAsia="仿宋"/>
          <w:sz w:val="30"/>
          <w:szCs w:val="30"/>
        </w:rPr>
        <w:t>）</w:t>
      </w:r>
    </w:p>
    <w:p w14:paraId="535B5964">
      <w:pPr>
        <w:pStyle w:val="9"/>
        <w:numPr>
          <w:ilvl w:val="0"/>
          <w:numId w:val="1"/>
        </w:numPr>
        <w:ind w:firstLineChars="0"/>
        <w:rPr>
          <w:rFonts w:ascii="仿宋" w:hAnsi="仿宋" w:eastAsia="仿宋"/>
          <w:sz w:val="32"/>
          <w:szCs w:val="32"/>
        </w:rPr>
      </w:pPr>
      <w:r>
        <w:rPr>
          <w:rFonts w:hint="eastAsia" w:ascii="仿宋" w:hAnsi="仿宋" w:eastAsia="仿宋"/>
          <w:sz w:val="30"/>
          <w:szCs w:val="30"/>
        </w:rPr>
        <w:t>资格要求</w:t>
      </w:r>
    </w:p>
    <w:p w14:paraId="2239D336">
      <w:pPr>
        <w:pStyle w:val="3"/>
        <w:numPr>
          <w:ilvl w:val="0"/>
          <w:numId w:val="2"/>
        </w:numPr>
        <w:snapToGrid w:val="0"/>
        <w:spacing w:line="400" w:lineRule="exact"/>
        <w:rPr>
          <w:rFonts w:ascii="仿宋" w:hAnsi="仿宋" w:eastAsia="仿宋" w:cstheme="minorBidi"/>
          <w:sz w:val="30"/>
          <w:szCs w:val="30"/>
        </w:rPr>
      </w:pPr>
      <w:r>
        <w:rPr>
          <w:rFonts w:hint="eastAsia" w:ascii="仿宋" w:hAnsi="仿宋" w:eastAsia="仿宋" w:cstheme="minorBidi"/>
          <w:sz w:val="30"/>
          <w:szCs w:val="30"/>
        </w:rPr>
        <w:t>符合《中华人民共和国政府采购法》第二十二条规定条件</w:t>
      </w:r>
    </w:p>
    <w:p w14:paraId="2A7D3FF4">
      <w:pPr>
        <w:pStyle w:val="3"/>
        <w:numPr>
          <w:ilvl w:val="0"/>
          <w:numId w:val="2"/>
        </w:numPr>
        <w:snapToGrid w:val="0"/>
        <w:spacing w:line="400" w:lineRule="exact"/>
        <w:rPr>
          <w:rFonts w:ascii="仿宋" w:hAnsi="仿宋" w:eastAsia="仿宋" w:cstheme="minorBidi"/>
          <w:sz w:val="30"/>
          <w:szCs w:val="30"/>
        </w:rPr>
      </w:pPr>
      <w:r>
        <w:rPr>
          <w:rFonts w:hint="eastAsia" w:ascii="仿宋" w:hAnsi="仿宋" w:eastAsia="仿宋" w:cstheme="minorBidi"/>
          <w:sz w:val="30"/>
          <w:szCs w:val="30"/>
        </w:rPr>
        <w:t>在中华人民共和国境内注册，具有独立法人资格。</w:t>
      </w:r>
    </w:p>
    <w:p w14:paraId="7AA663F8">
      <w:pPr>
        <w:pStyle w:val="3"/>
        <w:numPr>
          <w:ilvl w:val="0"/>
          <w:numId w:val="2"/>
        </w:numPr>
        <w:snapToGrid w:val="0"/>
        <w:spacing w:line="400" w:lineRule="exact"/>
        <w:rPr>
          <w:rFonts w:ascii="仿宋" w:hAnsi="仿宋" w:eastAsia="仿宋" w:cstheme="minorBidi"/>
          <w:sz w:val="30"/>
          <w:szCs w:val="30"/>
        </w:rPr>
      </w:pPr>
      <w:r>
        <w:rPr>
          <w:rFonts w:hint="eastAsia" w:ascii="仿宋" w:hAnsi="仿宋" w:eastAsia="仿宋" w:cstheme="minorBidi"/>
          <w:sz w:val="30"/>
          <w:szCs w:val="30"/>
        </w:rPr>
        <w:t>投标人所投的货物或服务必须全部在投标人营业执照允许经营的范畴内。</w:t>
      </w:r>
    </w:p>
    <w:p w14:paraId="6EF61DB4">
      <w:pPr>
        <w:pStyle w:val="3"/>
        <w:numPr>
          <w:ilvl w:val="0"/>
          <w:numId w:val="2"/>
        </w:numPr>
        <w:snapToGrid w:val="0"/>
        <w:spacing w:line="400" w:lineRule="exact"/>
        <w:rPr>
          <w:rFonts w:ascii="仿宋" w:hAnsi="仿宋" w:eastAsia="仿宋" w:cstheme="minorBidi"/>
          <w:sz w:val="30"/>
          <w:szCs w:val="30"/>
        </w:rPr>
      </w:pPr>
      <w:r>
        <w:rPr>
          <w:rFonts w:hint="eastAsia" w:ascii="仿宋" w:hAnsi="仿宋" w:eastAsia="仿宋" w:cstheme="minorBidi"/>
          <w:sz w:val="30"/>
          <w:szCs w:val="30"/>
        </w:rPr>
        <w:t>投标人不得被列入财政部政府采购严重违法失信行为记录名单</w:t>
      </w:r>
    </w:p>
    <w:p w14:paraId="208BDC19">
      <w:pPr>
        <w:pStyle w:val="3"/>
        <w:numPr>
          <w:ilvl w:val="0"/>
          <w:numId w:val="2"/>
        </w:numPr>
        <w:snapToGrid w:val="0"/>
        <w:spacing w:line="400" w:lineRule="exact"/>
        <w:rPr>
          <w:rFonts w:ascii="仿宋" w:hAnsi="仿宋" w:eastAsia="仿宋" w:cstheme="minorBidi"/>
          <w:sz w:val="30"/>
          <w:szCs w:val="30"/>
        </w:rPr>
      </w:pPr>
      <w:r>
        <w:rPr>
          <w:rFonts w:hint="eastAsia" w:ascii="仿宋" w:hAnsi="仿宋" w:eastAsia="仿宋" w:cstheme="minorBidi"/>
          <w:sz w:val="30"/>
          <w:szCs w:val="30"/>
        </w:rPr>
        <w:t>投标人应提供下列资格证明文件，否则其投标将被视为无效投标：</w:t>
      </w:r>
    </w:p>
    <w:p w14:paraId="34E1A73D">
      <w:pPr>
        <w:pStyle w:val="3"/>
        <w:numPr>
          <w:ilvl w:val="0"/>
          <w:numId w:val="3"/>
        </w:numPr>
        <w:snapToGrid w:val="0"/>
        <w:spacing w:line="400" w:lineRule="exact"/>
        <w:rPr>
          <w:rFonts w:ascii="仿宋" w:hAnsi="仿宋" w:eastAsia="仿宋" w:cstheme="minorBidi"/>
          <w:sz w:val="30"/>
          <w:szCs w:val="30"/>
        </w:rPr>
      </w:pPr>
      <w:r>
        <w:rPr>
          <w:rFonts w:hint="eastAsia" w:ascii="仿宋" w:hAnsi="仿宋" w:eastAsia="仿宋" w:cstheme="minorBidi"/>
          <w:sz w:val="30"/>
          <w:szCs w:val="30"/>
        </w:rPr>
        <w:t>营业执照等证明材料复印件；</w:t>
      </w:r>
    </w:p>
    <w:p w14:paraId="423FE4A1">
      <w:pPr>
        <w:pStyle w:val="3"/>
        <w:numPr>
          <w:ilvl w:val="0"/>
          <w:numId w:val="3"/>
        </w:numPr>
        <w:snapToGrid w:val="0"/>
        <w:spacing w:line="400" w:lineRule="exact"/>
        <w:rPr>
          <w:rFonts w:ascii="仿宋" w:hAnsi="仿宋" w:eastAsia="仿宋" w:cstheme="minorBidi"/>
          <w:sz w:val="30"/>
          <w:szCs w:val="30"/>
        </w:rPr>
      </w:pPr>
      <w:r>
        <w:rPr>
          <w:rFonts w:hint="eastAsia" w:ascii="仿宋" w:hAnsi="仿宋" w:eastAsia="仿宋" w:cstheme="minorBidi"/>
          <w:sz w:val="30"/>
          <w:szCs w:val="30"/>
        </w:rPr>
        <w:t>法定代表人的有效身份证正反面复印件；</w:t>
      </w:r>
    </w:p>
    <w:p w14:paraId="7DBC28CD">
      <w:pPr>
        <w:pStyle w:val="3"/>
        <w:numPr>
          <w:ilvl w:val="0"/>
          <w:numId w:val="3"/>
        </w:numPr>
        <w:snapToGrid w:val="0"/>
        <w:spacing w:line="400" w:lineRule="exact"/>
        <w:rPr>
          <w:rFonts w:ascii="仿宋" w:hAnsi="仿宋" w:eastAsia="仿宋" w:cstheme="minorBidi"/>
          <w:sz w:val="30"/>
          <w:szCs w:val="30"/>
        </w:rPr>
      </w:pPr>
      <w:r>
        <w:rPr>
          <w:rFonts w:hint="eastAsia" w:ascii="仿宋" w:hAnsi="仿宋" w:eastAsia="仿宋" w:cstheme="minorBidi"/>
          <w:sz w:val="30"/>
          <w:szCs w:val="30"/>
        </w:rPr>
        <w:t>参加采购活动前三年内在经营活动中没有重大违法记录及严重违法失信行为的声明（格式自拟）</w:t>
      </w:r>
    </w:p>
    <w:p w14:paraId="631AC305">
      <w:pPr>
        <w:pStyle w:val="9"/>
        <w:ind w:left="0" w:leftChars="0" w:firstLine="639" w:firstLineChars="213"/>
        <w:rPr>
          <w:rFonts w:hint="eastAsia"/>
          <w:sz w:val="24"/>
        </w:rPr>
      </w:pPr>
      <w:r>
        <w:rPr>
          <w:rFonts w:hint="eastAsia" w:ascii="仿宋" w:hAnsi="仿宋" w:eastAsia="仿宋"/>
          <w:sz w:val="30"/>
          <w:szCs w:val="30"/>
        </w:rPr>
        <w:t>以上资格证明文件须加盖投标人公章。原件</w:t>
      </w:r>
      <w:r>
        <w:rPr>
          <w:rFonts w:hint="eastAsia" w:ascii="仿宋" w:hAnsi="仿宋" w:eastAsia="仿宋"/>
          <w:sz w:val="30"/>
          <w:szCs w:val="30"/>
          <w:lang w:val="en-US" w:eastAsia="zh-CN"/>
        </w:rPr>
        <w:t>中标后</w:t>
      </w:r>
      <w:r>
        <w:rPr>
          <w:rFonts w:hint="eastAsia" w:ascii="仿宋" w:hAnsi="仿宋" w:eastAsia="仿宋"/>
          <w:sz w:val="30"/>
          <w:szCs w:val="30"/>
        </w:rPr>
        <w:t>复核</w:t>
      </w:r>
      <w:r>
        <w:rPr>
          <w:rFonts w:hint="eastAsia" w:ascii="仿宋" w:hAnsi="仿宋" w:eastAsia="仿宋"/>
          <w:sz w:val="30"/>
          <w:szCs w:val="30"/>
          <w:lang w:eastAsia="zh-CN"/>
        </w:rPr>
        <w:t>，</w:t>
      </w:r>
      <w:r>
        <w:rPr>
          <w:rFonts w:hint="eastAsia" w:ascii="仿宋" w:hAnsi="仿宋" w:eastAsia="仿宋"/>
          <w:sz w:val="30"/>
          <w:szCs w:val="30"/>
          <w:lang w:val="en-US" w:eastAsia="zh-CN"/>
        </w:rPr>
        <w:t>如</w:t>
      </w:r>
      <w:r>
        <w:rPr>
          <w:rFonts w:hint="eastAsia" w:ascii="仿宋" w:hAnsi="仿宋" w:eastAsia="仿宋"/>
          <w:sz w:val="30"/>
          <w:szCs w:val="30"/>
        </w:rPr>
        <w:t>中标人无法提供原件复核的，按虚假应标论处，该投标为无效投标。</w:t>
      </w:r>
    </w:p>
    <w:p w14:paraId="02F1A13E">
      <w:pPr>
        <w:pStyle w:val="9"/>
        <w:numPr>
          <w:ilvl w:val="0"/>
          <w:numId w:val="1"/>
        </w:numPr>
        <w:ind w:firstLineChars="0"/>
        <w:rPr>
          <w:rFonts w:hint="default" w:ascii="仿宋" w:hAnsi="仿宋" w:eastAsia="仿宋"/>
          <w:sz w:val="30"/>
          <w:szCs w:val="30"/>
          <w:lang w:val="en-US" w:eastAsia="zh-CN"/>
        </w:rPr>
      </w:pPr>
      <w:r>
        <w:rPr>
          <w:rFonts w:hint="eastAsia" w:ascii="仿宋" w:hAnsi="仿宋" w:eastAsia="仿宋"/>
          <w:sz w:val="30"/>
          <w:szCs w:val="30"/>
        </w:rPr>
        <w:t>产品及技术指标要求</w:t>
      </w:r>
      <w:r>
        <w:rPr>
          <w:rFonts w:hint="eastAsia" w:ascii="仿宋" w:hAnsi="仿宋" w:eastAsia="仿宋"/>
          <w:sz w:val="30"/>
          <w:szCs w:val="30"/>
          <w:lang w:val="en-US" w:eastAsia="zh-CN"/>
        </w:rPr>
        <w:t>：</w:t>
      </w:r>
    </w:p>
    <w:tbl>
      <w:tblPr>
        <w:tblStyle w:val="5"/>
        <w:tblW w:w="8726" w:type="dxa"/>
        <w:tblInd w:w="-28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710"/>
        <w:gridCol w:w="1417"/>
        <w:gridCol w:w="709"/>
        <w:gridCol w:w="709"/>
        <w:gridCol w:w="5181"/>
      </w:tblGrid>
      <w:tr w14:paraId="64C6EE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80" w:hRule="atLeast"/>
        </w:trPr>
        <w:tc>
          <w:tcPr>
            <w:tcW w:w="710" w:type="dxa"/>
            <w:shd w:val="clear" w:color="auto" w:fill="FFFFFF"/>
            <w:tcMar>
              <w:top w:w="0" w:type="dxa"/>
              <w:left w:w="84" w:type="dxa"/>
              <w:bottom w:w="0" w:type="dxa"/>
              <w:right w:w="84" w:type="dxa"/>
            </w:tcMar>
            <w:vAlign w:val="center"/>
          </w:tcPr>
          <w:p w14:paraId="51D909C0">
            <w:pPr>
              <w:pStyle w:val="4"/>
              <w:widowControl/>
              <w:spacing w:beforeAutospacing="0" w:after="120" w:afterAutospacing="0"/>
              <w:jc w:val="center"/>
              <w:rPr>
                <w:rFonts w:ascii="宋体" w:hAnsi="宋体" w:eastAsia="宋体" w:cs="宋体"/>
              </w:rPr>
            </w:pPr>
            <w:r>
              <w:rPr>
                <w:rFonts w:hint="eastAsia" w:ascii="宋体" w:hAnsi="宋体" w:eastAsia="宋体" w:cs="宋体"/>
              </w:rPr>
              <w:t>序号</w:t>
            </w:r>
          </w:p>
        </w:tc>
        <w:tc>
          <w:tcPr>
            <w:tcW w:w="1417" w:type="dxa"/>
            <w:shd w:val="clear" w:color="auto" w:fill="FFFFFF"/>
            <w:tcMar>
              <w:top w:w="0" w:type="dxa"/>
              <w:left w:w="84" w:type="dxa"/>
              <w:bottom w:w="0" w:type="dxa"/>
              <w:right w:w="84" w:type="dxa"/>
            </w:tcMar>
            <w:vAlign w:val="center"/>
          </w:tcPr>
          <w:p w14:paraId="58CACE20">
            <w:pPr>
              <w:pStyle w:val="4"/>
              <w:widowControl/>
              <w:spacing w:beforeAutospacing="0" w:after="120" w:afterAutospacing="0"/>
              <w:jc w:val="center"/>
              <w:rPr>
                <w:rFonts w:ascii="宋体" w:hAnsi="宋体" w:eastAsia="宋体" w:cs="宋体"/>
              </w:rPr>
            </w:pPr>
            <w:r>
              <w:rPr>
                <w:rFonts w:hint="eastAsia" w:ascii="宋体" w:hAnsi="宋体" w:eastAsia="宋体" w:cs="宋体"/>
              </w:rPr>
              <w:t>产品</w:t>
            </w:r>
          </w:p>
        </w:tc>
        <w:tc>
          <w:tcPr>
            <w:tcW w:w="709" w:type="dxa"/>
            <w:shd w:val="clear" w:color="auto" w:fill="FFFFFF"/>
            <w:vAlign w:val="center"/>
          </w:tcPr>
          <w:p w14:paraId="69B6FBC6">
            <w:pPr>
              <w:pStyle w:val="4"/>
              <w:widowControl/>
              <w:spacing w:beforeAutospacing="0" w:after="120" w:afterAutospacing="0"/>
              <w:jc w:val="center"/>
              <w:rPr>
                <w:rFonts w:ascii="宋体" w:hAnsi="宋体" w:eastAsia="宋体" w:cs="宋体"/>
              </w:rPr>
            </w:pPr>
            <w:r>
              <w:rPr>
                <w:rFonts w:hint="eastAsia" w:ascii="宋体" w:hAnsi="宋体" w:eastAsia="宋体" w:cs="宋体"/>
              </w:rPr>
              <w:t>数量</w:t>
            </w:r>
          </w:p>
        </w:tc>
        <w:tc>
          <w:tcPr>
            <w:tcW w:w="709" w:type="dxa"/>
            <w:shd w:val="clear" w:color="auto" w:fill="FFFFFF"/>
            <w:tcMar>
              <w:top w:w="0" w:type="dxa"/>
              <w:left w:w="84" w:type="dxa"/>
              <w:bottom w:w="0" w:type="dxa"/>
              <w:right w:w="84" w:type="dxa"/>
            </w:tcMar>
            <w:vAlign w:val="center"/>
          </w:tcPr>
          <w:p w14:paraId="4BA99DD7">
            <w:pPr>
              <w:pStyle w:val="4"/>
              <w:widowControl/>
              <w:spacing w:beforeAutospacing="0" w:after="120" w:afterAutospacing="0"/>
              <w:jc w:val="center"/>
              <w:rPr>
                <w:rFonts w:ascii="宋体" w:hAnsi="宋体" w:eastAsia="宋体" w:cs="宋体"/>
              </w:rPr>
            </w:pPr>
            <w:r>
              <w:rPr>
                <w:rFonts w:hint="eastAsia" w:ascii="宋体" w:hAnsi="宋体" w:eastAsia="宋体" w:cs="宋体"/>
              </w:rPr>
              <w:t>单位</w:t>
            </w:r>
          </w:p>
        </w:tc>
        <w:tc>
          <w:tcPr>
            <w:tcW w:w="5181" w:type="dxa"/>
            <w:shd w:val="clear" w:color="auto" w:fill="FFFFFF"/>
            <w:tcMar>
              <w:top w:w="0" w:type="dxa"/>
              <w:left w:w="84" w:type="dxa"/>
              <w:bottom w:w="0" w:type="dxa"/>
              <w:right w:w="84" w:type="dxa"/>
            </w:tcMar>
            <w:vAlign w:val="center"/>
          </w:tcPr>
          <w:p w14:paraId="0B1219E2">
            <w:pPr>
              <w:pStyle w:val="4"/>
              <w:widowControl/>
              <w:spacing w:beforeAutospacing="0" w:after="120" w:afterAutospacing="0"/>
              <w:jc w:val="center"/>
              <w:rPr>
                <w:rFonts w:ascii="宋体" w:hAnsi="宋体" w:eastAsia="宋体" w:cs="宋体"/>
              </w:rPr>
            </w:pPr>
            <w:r>
              <w:rPr>
                <w:rFonts w:hint="eastAsia" w:ascii="宋体" w:hAnsi="宋体" w:eastAsia="宋体" w:cs="宋体"/>
              </w:rPr>
              <w:t>描述</w:t>
            </w:r>
          </w:p>
        </w:tc>
      </w:tr>
      <w:tr w14:paraId="1D9D15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340" w:hRule="atLeast"/>
        </w:trPr>
        <w:tc>
          <w:tcPr>
            <w:tcW w:w="710" w:type="dxa"/>
            <w:shd w:val="clear" w:color="auto" w:fill="FFFFFF"/>
            <w:tcMar>
              <w:top w:w="0" w:type="dxa"/>
              <w:left w:w="84" w:type="dxa"/>
              <w:bottom w:w="0" w:type="dxa"/>
              <w:right w:w="84" w:type="dxa"/>
            </w:tcMar>
            <w:vAlign w:val="center"/>
          </w:tcPr>
          <w:p w14:paraId="4E3FE255">
            <w:pPr>
              <w:autoSpaceDE w:val="0"/>
              <w:autoSpaceDN w:val="0"/>
              <w:adjustRightInd w:val="0"/>
              <w:jc w:val="center"/>
              <w:rPr>
                <w:rFonts w:hint="eastAsia"/>
                <w:sz w:val="24"/>
              </w:rPr>
            </w:pPr>
            <w:r>
              <w:rPr>
                <w:rFonts w:hint="eastAsia"/>
                <w:sz w:val="24"/>
              </w:rPr>
              <w:t>1</w:t>
            </w:r>
          </w:p>
        </w:tc>
        <w:tc>
          <w:tcPr>
            <w:tcW w:w="1417" w:type="dxa"/>
            <w:shd w:val="clear" w:color="auto" w:fill="FFFFFF"/>
            <w:tcMar>
              <w:top w:w="0" w:type="dxa"/>
              <w:left w:w="84" w:type="dxa"/>
              <w:bottom w:w="0" w:type="dxa"/>
              <w:right w:w="84" w:type="dxa"/>
            </w:tcMar>
            <w:vAlign w:val="center"/>
          </w:tcPr>
          <w:p w14:paraId="5F47B978">
            <w:pPr>
              <w:autoSpaceDE w:val="0"/>
              <w:autoSpaceDN w:val="0"/>
              <w:adjustRightInd w:val="0"/>
              <w:jc w:val="left"/>
              <w:rPr>
                <w:rFonts w:hint="eastAsia"/>
                <w:sz w:val="24"/>
              </w:rPr>
            </w:pPr>
            <w:r>
              <w:rPr>
                <w:rFonts w:hint="eastAsia"/>
                <w:sz w:val="24"/>
              </w:rPr>
              <w:t>数据流蓝光库扩展柜</w:t>
            </w:r>
          </w:p>
        </w:tc>
        <w:tc>
          <w:tcPr>
            <w:tcW w:w="709" w:type="dxa"/>
            <w:vAlign w:val="center"/>
          </w:tcPr>
          <w:p w14:paraId="01492E9A">
            <w:pPr>
              <w:autoSpaceDE w:val="0"/>
              <w:autoSpaceDN w:val="0"/>
              <w:adjustRightInd w:val="0"/>
              <w:ind w:firstLine="420"/>
              <w:jc w:val="left"/>
              <w:rPr>
                <w:rFonts w:hint="eastAsia"/>
                <w:sz w:val="24"/>
              </w:rPr>
            </w:pPr>
            <w:r>
              <w:rPr>
                <w:rFonts w:hint="eastAsia"/>
                <w:sz w:val="24"/>
              </w:rPr>
              <w:t>1</w:t>
            </w:r>
          </w:p>
        </w:tc>
        <w:tc>
          <w:tcPr>
            <w:tcW w:w="709" w:type="dxa"/>
            <w:shd w:val="clear" w:color="auto" w:fill="auto"/>
            <w:tcMar>
              <w:top w:w="0" w:type="dxa"/>
              <w:left w:w="84" w:type="dxa"/>
              <w:bottom w:w="0" w:type="dxa"/>
              <w:right w:w="84" w:type="dxa"/>
            </w:tcMar>
            <w:vAlign w:val="center"/>
          </w:tcPr>
          <w:p w14:paraId="45866DBC">
            <w:pPr>
              <w:autoSpaceDE w:val="0"/>
              <w:autoSpaceDN w:val="0"/>
              <w:adjustRightInd w:val="0"/>
              <w:jc w:val="center"/>
              <w:rPr>
                <w:rFonts w:hint="default"/>
                <w:sz w:val="24"/>
                <w:lang w:val="en-US" w:eastAsia="zh-CN"/>
              </w:rPr>
            </w:pPr>
            <w:r>
              <w:rPr>
                <w:rFonts w:hint="eastAsia"/>
                <w:sz w:val="24"/>
                <w:lang w:val="en-US" w:eastAsia="zh-CN"/>
              </w:rPr>
              <w:t>个</w:t>
            </w:r>
          </w:p>
        </w:tc>
        <w:tc>
          <w:tcPr>
            <w:tcW w:w="5181" w:type="dxa"/>
            <w:shd w:val="clear" w:color="auto" w:fill="auto"/>
            <w:tcMar>
              <w:top w:w="0" w:type="dxa"/>
              <w:left w:w="84" w:type="dxa"/>
              <w:bottom w:w="0" w:type="dxa"/>
              <w:right w:w="84" w:type="dxa"/>
            </w:tcMar>
            <w:vAlign w:val="center"/>
          </w:tcPr>
          <w:p w14:paraId="36E0EA69">
            <w:pPr>
              <w:autoSpaceDE w:val="0"/>
              <w:autoSpaceDN w:val="0"/>
              <w:adjustRightInd w:val="0"/>
              <w:jc w:val="left"/>
              <w:rPr>
                <w:rFonts w:hint="eastAsia" w:eastAsiaTheme="minorEastAsia"/>
                <w:sz w:val="24"/>
                <w:lang w:eastAsia="zh-CN"/>
              </w:rPr>
            </w:pPr>
            <w:r>
              <w:rPr>
                <w:rFonts w:hint="eastAsia"/>
                <w:sz w:val="24"/>
              </w:rPr>
              <w:t>1、光盘库扩展柜，可无缝安装在台内现有的ODS-L30M蓝光基础单元上；高度7U</w:t>
            </w:r>
            <w:r>
              <w:rPr>
                <w:rFonts w:hint="eastAsia"/>
                <w:sz w:val="24"/>
                <w:lang w:eastAsia="zh-CN"/>
              </w:rPr>
              <w:t>；</w:t>
            </w:r>
          </w:p>
          <w:p w14:paraId="579E5922">
            <w:pPr>
              <w:autoSpaceDE w:val="0"/>
              <w:autoSpaceDN w:val="0"/>
              <w:adjustRightInd w:val="0"/>
              <w:jc w:val="left"/>
              <w:rPr>
                <w:rFonts w:hint="eastAsia"/>
                <w:sz w:val="24"/>
              </w:rPr>
            </w:pPr>
            <w:r>
              <w:rPr>
                <w:rFonts w:hint="eastAsia"/>
                <w:sz w:val="24"/>
              </w:rPr>
              <w:t>2、光盘槽位≥101个；</w:t>
            </w:r>
          </w:p>
          <w:p w14:paraId="32A6542F">
            <w:pPr>
              <w:autoSpaceDE w:val="0"/>
              <w:autoSpaceDN w:val="0"/>
              <w:adjustRightInd w:val="0"/>
              <w:jc w:val="left"/>
              <w:rPr>
                <w:rFonts w:hint="eastAsia"/>
                <w:sz w:val="24"/>
              </w:rPr>
            </w:pPr>
            <w:r>
              <w:rPr>
                <w:rFonts w:hint="eastAsia"/>
                <w:sz w:val="24"/>
              </w:rPr>
              <w:t>3、最大容量≥555TB；</w:t>
            </w:r>
          </w:p>
          <w:p w14:paraId="08C1BFD6">
            <w:pPr>
              <w:autoSpaceDE w:val="0"/>
              <w:autoSpaceDN w:val="0"/>
              <w:adjustRightInd w:val="0"/>
              <w:jc w:val="left"/>
              <w:rPr>
                <w:rFonts w:hint="eastAsia" w:eastAsiaTheme="minorEastAsia"/>
                <w:sz w:val="24"/>
                <w:lang w:eastAsia="zh-CN"/>
              </w:rPr>
            </w:pPr>
            <w:r>
              <w:rPr>
                <w:rFonts w:hint="eastAsia"/>
                <w:sz w:val="24"/>
              </w:rPr>
              <w:t>4、电源：AC 100~240V 50Hz/60Hz</w:t>
            </w:r>
            <w:r>
              <w:rPr>
                <w:rFonts w:hint="eastAsia"/>
                <w:sz w:val="24"/>
                <w:lang w:eastAsia="zh-CN"/>
              </w:rPr>
              <w:t>；</w:t>
            </w:r>
          </w:p>
          <w:p w14:paraId="31E421C1">
            <w:pPr>
              <w:autoSpaceDE w:val="0"/>
              <w:autoSpaceDN w:val="0"/>
              <w:adjustRightInd w:val="0"/>
              <w:jc w:val="left"/>
              <w:rPr>
                <w:rFonts w:hint="eastAsia" w:eastAsiaTheme="minorEastAsia"/>
                <w:sz w:val="24"/>
                <w:lang w:eastAsia="zh-CN"/>
              </w:rPr>
            </w:pPr>
            <w:r>
              <w:rPr>
                <w:rFonts w:hint="eastAsia"/>
                <w:sz w:val="24"/>
                <w:lang w:val="en-US" w:eastAsia="zh-CN"/>
              </w:rPr>
              <w:t>5、</w:t>
            </w:r>
            <w:r>
              <w:rPr>
                <w:rFonts w:hint="eastAsia"/>
                <w:sz w:val="24"/>
              </w:rPr>
              <w:t>无需停止系统，通过I/E托槽(输入/出)，即可更换盘盒；系统兼容，机械臂可运行至库体中存取光盘盒；可直接接入基础单元进行运作，零耗电，可做离线存储</w:t>
            </w:r>
            <w:r>
              <w:rPr>
                <w:rFonts w:hint="eastAsia"/>
                <w:sz w:val="24"/>
                <w:lang w:eastAsia="zh-CN"/>
              </w:rPr>
              <w:t>；</w:t>
            </w:r>
          </w:p>
          <w:p w14:paraId="5B54DA07">
            <w:pPr>
              <w:autoSpaceDE w:val="0"/>
              <w:autoSpaceDN w:val="0"/>
              <w:adjustRightInd w:val="0"/>
              <w:jc w:val="left"/>
              <w:rPr>
                <w:rFonts w:hint="eastAsia" w:ascii="宋体" w:hAnsi="宋体" w:cs="宋体" w:eastAsiaTheme="minorEastAsia"/>
                <w:sz w:val="24"/>
                <w:szCs w:val="24"/>
                <w:lang w:eastAsia="zh-CN"/>
              </w:rPr>
            </w:pPr>
            <w:r>
              <w:rPr>
                <w:rFonts w:hint="eastAsia"/>
                <w:sz w:val="24"/>
                <w:lang w:val="en-US" w:eastAsia="zh-CN"/>
              </w:rPr>
              <w:t>6、</w:t>
            </w:r>
            <w:r>
              <w:rPr>
                <w:rFonts w:hint="eastAsia"/>
                <w:sz w:val="24"/>
              </w:rPr>
              <w:t>三年保（含运输、安装、培训、税点）</w:t>
            </w:r>
            <w:r>
              <w:rPr>
                <w:rFonts w:hint="eastAsia"/>
                <w:sz w:val="24"/>
                <w:lang w:eastAsia="zh-CN"/>
              </w:rPr>
              <w:t>。</w:t>
            </w:r>
          </w:p>
        </w:tc>
      </w:tr>
      <w:tr w14:paraId="18D5DB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87" w:hRule="atLeast"/>
        </w:trPr>
        <w:tc>
          <w:tcPr>
            <w:tcW w:w="710" w:type="dxa"/>
            <w:shd w:val="clear" w:color="auto" w:fill="FFFFFF"/>
            <w:tcMar>
              <w:top w:w="0" w:type="dxa"/>
              <w:left w:w="84" w:type="dxa"/>
              <w:bottom w:w="0" w:type="dxa"/>
              <w:right w:w="84" w:type="dxa"/>
            </w:tcMar>
            <w:vAlign w:val="center"/>
          </w:tcPr>
          <w:p w14:paraId="48808AF0">
            <w:pPr>
              <w:pStyle w:val="4"/>
              <w:widowControl/>
              <w:spacing w:beforeAutospacing="0" w:after="120" w:afterAutospacing="0"/>
              <w:jc w:val="center"/>
              <w:rPr>
                <w:rFonts w:hint="eastAsia" w:ascii="宋体" w:hAnsi="宋体" w:eastAsia="宋体" w:cs="宋体"/>
                <w:lang w:eastAsia="zh-CN"/>
              </w:rPr>
            </w:pPr>
            <w:r>
              <w:rPr>
                <w:rFonts w:hint="eastAsia" w:ascii="宋体" w:hAnsi="宋体" w:eastAsia="宋体" w:cs="宋体"/>
                <w:lang w:val="en-US" w:eastAsia="zh-CN"/>
              </w:rPr>
              <w:t>2</w:t>
            </w:r>
          </w:p>
        </w:tc>
        <w:tc>
          <w:tcPr>
            <w:tcW w:w="1417" w:type="dxa"/>
            <w:shd w:val="clear" w:color="auto" w:fill="FFFFFF"/>
            <w:tcMar>
              <w:top w:w="0" w:type="dxa"/>
              <w:left w:w="84" w:type="dxa"/>
              <w:bottom w:w="0" w:type="dxa"/>
              <w:right w:w="84" w:type="dxa"/>
            </w:tcMar>
            <w:vAlign w:val="center"/>
          </w:tcPr>
          <w:p w14:paraId="6CA01F03">
            <w:pPr>
              <w:pStyle w:val="4"/>
              <w:widowControl/>
              <w:spacing w:beforeAutospacing="0" w:after="120" w:afterAutospacing="0"/>
              <w:jc w:val="center"/>
              <w:rPr>
                <w:rFonts w:hint="eastAsia" w:ascii="宋体" w:hAnsi="宋体" w:eastAsia="宋体" w:cs="宋体"/>
                <w:lang w:eastAsia="zh-CN"/>
              </w:rPr>
            </w:pPr>
            <w:r>
              <w:rPr>
                <w:rFonts w:hint="eastAsia" w:ascii="宋体" w:hAnsi="宋体" w:eastAsia="宋体" w:cs="宋体"/>
                <w:lang w:val="en-US" w:eastAsia="zh-CN"/>
              </w:rPr>
              <w:t>光盘</w:t>
            </w:r>
          </w:p>
        </w:tc>
        <w:tc>
          <w:tcPr>
            <w:tcW w:w="709" w:type="dxa"/>
            <w:vAlign w:val="center"/>
          </w:tcPr>
          <w:p w14:paraId="04CA2FEE">
            <w:pPr>
              <w:pStyle w:val="4"/>
              <w:widowControl/>
              <w:spacing w:beforeAutospacing="0" w:after="120" w:afterAutospacing="0"/>
              <w:jc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50</w:t>
            </w:r>
          </w:p>
        </w:tc>
        <w:tc>
          <w:tcPr>
            <w:tcW w:w="709" w:type="dxa"/>
            <w:shd w:val="clear" w:color="auto" w:fill="auto"/>
            <w:tcMar>
              <w:top w:w="0" w:type="dxa"/>
              <w:left w:w="84" w:type="dxa"/>
              <w:bottom w:w="0" w:type="dxa"/>
              <w:right w:w="84" w:type="dxa"/>
            </w:tcMar>
            <w:vAlign w:val="center"/>
          </w:tcPr>
          <w:p w14:paraId="1969D2C4">
            <w:pPr>
              <w:pStyle w:val="4"/>
              <w:widowControl/>
              <w:spacing w:beforeAutospacing="0" w:after="120" w:afterAutospacing="0"/>
              <w:jc w:val="center"/>
              <w:rPr>
                <w:rFonts w:hint="eastAsia" w:ascii="宋体" w:hAnsi="宋体" w:eastAsia="宋体" w:cs="宋体"/>
                <w:color w:val="000000"/>
                <w:lang w:eastAsia="zh-CN"/>
              </w:rPr>
            </w:pPr>
            <w:r>
              <w:rPr>
                <w:rFonts w:hint="eastAsia" w:ascii="宋体" w:hAnsi="宋体" w:eastAsia="宋体" w:cs="宋体"/>
                <w:color w:val="000000"/>
                <w:lang w:val="en-US" w:eastAsia="zh-CN"/>
              </w:rPr>
              <w:t>盒</w:t>
            </w:r>
          </w:p>
        </w:tc>
        <w:tc>
          <w:tcPr>
            <w:tcW w:w="5181" w:type="dxa"/>
            <w:shd w:val="clear" w:color="auto" w:fill="auto"/>
            <w:tcMar>
              <w:top w:w="0" w:type="dxa"/>
              <w:left w:w="84" w:type="dxa"/>
              <w:bottom w:w="0" w:type="dxa"/>
              <w:right w:w="84" w:type="dxa"/>
            </w:tcMar>
            <w:vAlign w:val="center"/>
          </w:tcPr>
          <w:p w14:paraId="2246F209">
            <w:pPr>
              <w:autoSpaceDE w:val="0"/>
              <w:autoSpaceDN w:val="0"/>
              <w:adjustRightInd w:val="0"/>
              <w:jc w:val="left"/>
              <w:rPr>
                <w:rFonts w:hint="eastAsia"/>
                <w:sz w:val="24"/>
              </w:rPr>
            </w:pPr>
            <w:r>
              <w:rPr>
                <w:rFonts w:hint="eastAsia"/>
                <w:sz w:val="24"/>
              </w:rPr>
              <w:t>1、单盒≥5.5TB 容量；</w:t>
            </w:r>
          </w:p>
          <w:p w14:paraId="6B2B64B0">
            <w:pPr>
              <w:autoSpaceDE w:val="0"/>
              <w:autoSpaceDN w:val="0"/>
              <w:adjustRightInd w:val="0"/>
              <w:jc w:val="left"/>
              <w:rPr>
                <w:rFonts w:hint="eastAsia"/>
                <w:sz w:val="24"/>
              </w:rPr>
            </w:pPr>
            <w:r>
              <w:rPr>
                <w:rFonts w:hint="eastAsia"/>
                <w:sz w:val="24"/>
              </w:rPr>
              <w:t>2、双面光盘，每面三层，尺寸132 mm x 130 mm x 26.7 mm；</w:t>
            </w:r>
          </w:p>
          <w:p w14:paraId="78679CEE">
            <w:pPr>
              <w:autoSpaceDE w:val="0"/>
              <w:autoSpaceDN w:val="0"/>
              <w:adjustRightInd w:val="0"/>
              <w:jc w:val="left"/>
              <w:rPr>
                <w:rFonts w:hint="eastAsia"/>
                <w:sz w:val="24"/>
              </w:rPr>
            </w:pPr>
            <w:r>
              <w:rPr>
                <w:rFonts w:hint="eastAsia"/>
                <w:sz w:val="24"/>
              </w:rPr>
              <w:t>3、写入≥1.5Gbps，读取≥3Gbps；</w:t>
            </w:r>
          </w:p>
          <w:p w14:paraId="5F1AB485">
            <w:pPr>
              <w:autoSpaceDE w:val="0"/>
              <w:autoSpaceDN w:val="0"/>
              <w:adjustRightInd w:val="0"/>
              <w:jc w:val="left"/>
              <w:rPr>
                <w:rFonts w:hint="eastAsia"/>
                <w:sz w:val="24"/>
                <w:lang w:val="en-US" w:eastAsia="zh-CN"/>
              </w:rPr>
            </w:pPr>
            <w:r>
              <w:rPr>
                <w:rFonts w:hint="eastAsia"/>
                <w:sz w:val="24"/>
                <w:lang w:val="en-US" w:eastAsia="zh-CN"/>
              </w:rPr>
              <w:t>4、内置RFID电子标签，外置标签码标识区域；</w:t>
            </w:r>
          </w:p>
          <w:p w14:paraId="2015735A">
            <w:pPr>
              <w:autoSpaceDE w:val="0"/>
              <w:autoSpaceDN w:val="0"/>
              <w:adjustRightInd w:val="0"/>
              <w:jc w:val="left"/>
              <w:rPr>
                <w:rFonts w:hint="default" w:ascii="宋体" w:hAnsi="宋体" w:cs="宋体"/>
                <w:sz w:val="24"/>
                <w:szCs w:val="24"/>
                <w:lang w:val="en-US" w:eastAsia="zh-CN"/>
              </w:rPr>
            </w:pPr>
            <w:r>
              <w:rPr>
                <w:rFonts w:hint="eastAsia"/>
                <w:sz w:val="24"/>
                <w:lang w:val="en-US" w:eastAsia="zh-CN"/>
              </w:rPr>
              <w:t>5、需与扩展柜为同品牌配套使用。</w:t>
            </w:r>
          </w:p>
        </w:tc>
      </w:tr>
    </w:tbl>
    <w:p w14:paraId="5198CC03">
      <w:pPr>
        <w:autoSpaceDE w:val="0"/>
        <w:autoSpaceDN w:val="0"/>
        <w:adjustRightInd w:val="0"/>
        <w:ind w:firstLine="420"/>
        <w:jc w:val="left"/>
        <w:rPr>
          <w:sz w:val="24"/>
        </w:rPr>
      </w:pPr>
    </w:p>
    <w:p w14:paraId="6A604B2A">
      <w:pPr>
        <w:pStyle w:val="9"/>
        <w:numPr>
          <w:ilvl w:val="0"/>
          <w:numId w:val="1"/>
        </w:numPr>
        <w:ind w:firstLineChars="0"/>
        <w:rPr>
          <w:rFonts w:hint="eastAsia" w:ascii="仿宋" w:hAnsi="仿宋" w:eastAsia="仿宋"/>
          <w:sz w:val="30"/>
          <w:szCs w:val="30"/>
          <w:lang w:val="en-US" w:eastAsia="zh-CN"/>
        </w:rPr>
      </w:pPr>
      <w:r>
        <w:rPr>
          <w:rFonts w:hint="eastAsia" w:ascii="仿宋" w:hAnsi="仿宋" w:eastAsia="仿宋"/>
          <w:sz w:val="30"/>
          <w:szCs w:val="30"/>
          <w:lang w:val="en-US" w:eastAsia="zh-CN"/>
        </w:rPr>
        <w:t>商务要求</w:t>
      </w:r>
    </w:p>
    <w:p w14:paraId="3496199A">
      <w:pPr>
        <w:pStyle w:val="3"/>
        <w:snapToGrid w:val="0"/>
        <w:spacing w:line="400" w:lineRule="exact"/>
        <w:ind w:firstLine="0"/>
        <w:rPr>
          <w:rFonts w:ascii="仿宋" w:hAnsi="仿宋" w:eastAsia="仿宋" w:cstheme="minorBidi"/>
          <w:sz w:val="30"/>
          <w:szCs w:val="30"/>
        </w:rPr>
      </w:pPr>
      <w:r>
        <w:rPr>
          <w:rFonts w:hint="eastAsia" w:ascii="宋体" w:hAnsi="宋体" w:cs="宋体"/>
          <w:sz w:val="24"/>
          <w:szCs w:val="24"/>
        </w:rPr>
        <w:t>1、</w:t>
      </w:r>
      <w:r>
        <w:rPr>
          <w:rFonts w:hint="eastAsia" w:ascii="仿宋" w:hAnsi="仿宋" w:eastAsia="仿宋" w:cstheme="minorBidi"/>
          <w:sz w:val="30"/>
          <w:szCs w:val="30"/>
        </w:rPr>
        <w:t>交付地点：福建省泉州市丰泽区田淮街6</w:t>
      </w:r>
      <w:r>
        <w:rPr>
          <w:rFonts w:ascii="仿宋" w:hAnsi="仿宋" w:eastAsia="仿宋" w:cstheme="minorBidi"/>
          <w:sz w:val="30"/>
          <w:szCs w:val="30"/>
        </w:rPr>
        <w:t>6</w:t>
      </w:r>
      <w:r>
        <w:rPr>
          <w:rFonts w:hint="eastAsia" w:ascii="仿宋" w:hAnsi="仿宋" w:eastAsia="仿宋" w:cstheme="minorBidi"/>
          <w:sz w:val="30"/>
          <w:szCs w:val="30"/>
        </w:rPr>
        <w:t>号</w:t>
      </w:r>
      <w:r>
        <w:rPr>
          <w:rFonts w:ascii="仿宋" w:hAnsi="仿宋" w:eastAsia="仿宋" w:cstheme="minorBidi"/>
          <w:sz w:val="30"/>
          <w:szCs w:val="30"/>
        </w:rPr>
        <w:t xml:space="preserve"> </w:t>
      </w:r>
      <w:r>
        <w:rPr>
          <w:rFonts w:ascii="仿宋" w:hAnsi="仿宋" w:eastAsia="仿宋" w:cstheme="minorBidi"/>
          <w:sz w:val="30"/>
          <w:szCs w:val="30"/>
        </w:rPr>
        <w:br w:type="textWrapping"/>
      </w:r>
      <w:r>
        <w:rPr>
          <w:rFonts w:ascii="仿宋" w:hAnsi="仿宋" w:eastAsia="仿宋" w:cstheme="minorBidi"/>
          <w:sz w:val="30"/>
          <w:szCs w:val="30"/>
        </w:rPr>
        <w:t>2</w:t>
      </w:r>
      <w:r>
        <w:rPr>
          <w:rFonts w:hint="eastAsia" w:ascii="仿宋" w:hAnsi="仿宋" w:eastAsia="仿宋" w:cstheme="minorBidi"/>
          <w:sz w:val="30"/>
          <w:szCs w:val="30"/>
        </w:rPr>
        <w:t>、交付时间：合同签署后</w:t>
      </w:r>
      <w:r>
        <w:rPr>
          <w:rFonts w:hint="eastAsia" w:ascii="仿宋" w:hAnsi="仿宋" w:eastAsia="仿宋" w:cstheme="minorBidi"/>
          <w:sz w:val="30"/>
          <w:szCs w:val="30"/>
          <w:lang w:val="en-US" w:eastAsia="zh-CN"/>
        </w:rPr>
        <w:t>15</w:t>
      </w:r>
      <w:r>
        <w:rPr>
          <w:rFonts w:hint="eastAsia" w:ascii="仿宋" w:hAnsi="仿宋" w:eastAsia="仿宋" w:cstheme="minorBidi"/>
          <w:sz w:val="30"/>
          <w:szCs w:val="30"/>
        </w:rPr>
        <w:t>个日历日</w:t>
      </w:r>
      <w:r>
        <w:rPr>
          <w:rFonts w:hint="eastAsia" w:ascii="仿宋" w:hAnsi="仿宋" w:eastAsia="仿宋" w:cstheme="minorBidi"/>
          <w:sz w:val="30"/>
          <w:szCs w:val="30"/>
          <w:lang w:val="en-US" w:eastAsia="zh-CN"/>
        </w:rPr>
        <w:t>内交付</w:t>
      </w:r>
      <w:r>
        <w:rPr>
          <w:rFonts w:hint="eastAsia" w:ascii="仿宋" w:hAnsi="仿宋" w:eastAsia="仿宋" w:cstheme="minorBidi"/>
          <w:sz w:val="30"/>
          <w:szCs w:val="30"/>
        </w:rPr>
        <w:t>。</w:t>
      </w:r>
      <w:r>
        <w:rPr>
          <w:rFonts w:ascii="仿宋" w:hAnsi="仿宋" w:eastAsia="仿宋" w:cstheme="minorBidi"/>
          <w:sz w:val="30"/>
          <w:szCs w:val="30"/>
        </w:rPr>
        <w:br w:type="textWrapping"/>
      </w:r>
      <w:r>
        <w:rPr>
          <w:rFonts w:hint="eastAsia" w:ascii="仿宋" w:hAnsi="仿宋" w:eastAsia="仿宋" w:cstheme="minorBidi"/>
          <w:sz w:val="30"/>
          <w:szCs w:val="30"/>
        </w:rPr>
        <w:t>3、验收：中标人在完成交付条件并提交验收申请后由采购人进行验收。</w:t>
      </w:r>
    </w:p>
    <w:p w14:paraId="41C40165">
      <w:pPr>
        <w:pStyle w:val="3"/>
        <w:snapToGrid w:val="0"/>
        <w:spacing w:line="400" w:lineRule="exact"/>
        <w:ind w:firstLine="0"/>
        <w:rPr>
          <w:rFonts w:ascii="仿宋" w:hAnsi="仿宋" w:eastAsia="仿宋" w:cstheme="minorBidi"/>
          <w:sz w:val="30"/>
          <w:szCs w:val="30"/>
        </w:rPr>
      </w:pPr>
      <w:r>
        <w:rPr>
          <w:rFonts w:hint="eastAsia" w:ascii="仿宋" w:hAnsi="仿宋" w:eastAsia="仿宋" w:cstheme="minorBidi"/>
          <w:sz w:val="30"/>
          <w:szCs w:val="30"/>
        </w:rPr>
        <w:t>4、支付方式：验收合格后</w:t>
      </w:r>
      <w:r>
        <w:rPr>
          <w:rFonts w:ascii="仿宋" w:hAnsi="仿宋" w:eastAsia="仿宋" w:cstheme="minorBidi"/>
          <w:sz w:val="30"/>
          <w:szCs w:val="30"/>
        </w:rPr>
        <w:t>1</w:t>
      </w:r>
      <w:r>
        <w:rPr>
          <w:rFonts w:hint="eastAsia" w:ascii="仿宋" w:hAnsi="仿宋" w:eastAsia="仿宋" w:cstheme="minorBidi"/>
          <w:sz w:val="30"/>
          <w:szCs w:val="30"/>
        </w:rPr>
        <w:t>个月内。采用银行转账的方式。中标人须先行提供等额合法增值税专用发票原件。若中标人未提供此等发票，采购人有权延期至中标人提供前述发票后付款，且不视为违约。</w:t>
      </w:r>
    </w:p>
    <w:p w14:paraId="6277BE8C">
      <w:pPr>
        <w:pStyle w:val="9"/>
        <w:numPr>
          <w:ilvl w:val="0"/>
          <w:numId w:val="1"/>
        </w:numPr>
        <w:ind w:firstLineChars="0"/>
        <w:rPr>
          <w:rFonts w:ascii="仿宋" w:hAnsi="仿宋" w:eastAsia="仿宋"/>
          <w:sz w:val="32"/>
          <w:szCs w:val="32"/>
        </w:rPr>
      </w:pPr>
      <w:r>
        <w:rPr>
          <w:rFonts w:hint="eastAsia" w:ascii="仿宋" w:hAnsi="仿宋" w:eastAsia="仿宋"/>
          <w:sz w:val="32"/>
          <w:szCs w:val="32"/>
          <w:lang w:val="en-US" w:eastAsia="zh-CN"/>
        </w:rPr>
        <w:t>报价要求</w:t>
      </w:r>
      <w:r>
        <w:rPr>
          <w:rFonts w:hint="eastAsia" w:ascii="仿宋" w:hAnsi="仿宋" w:eastAsia="仿宋"/>
          <w:sz w:val="32"/>
          <w:szCs w:val="32"/>
        </w:rPr>
        <w:t>：</w:t>
      </w:r>
    </w:p>
    <w:p w14:paraId="71FC2261">
      <w:pPr>
        <w:pStyle w:val="3"/>
        <w:numPr>
          <w:ilvl w:val="0"/>
          <w:numId w:val="4"/>
        </w:numPr>
        <w:snapToGrid w:val="0"/>
        <w:spacing w:line="400" w:lineRule="exact"/>
        <w:ind w:left="0" w:leftChars="0" w:firstLine="0" w:firstLineChars="0"/>
        <w:rPr>
          <w:rFonts w:hint="eastAsia" w:ascii="仿宋" w:hAnsi="仿宋" w:eastAsia="仿宋" w:cstheme="minorBidi"/>
          <w:sz w:val="30"/>
          <w:szCs w:val="30"/>
          <w:lang w:val="en-US" w:eastAsia="zh-CN"/>
        </w:rPr>
      </w:pPr>
      <w:r>
        <w:rPr>
          <w:rFonts w:hint="eastAsia" w:ascii="仿宋" w:hAnsi="仿宋" w:eastAsia="仿宋" w:cstheme="minorBidi"/>
          <w:sz w:val="30"/>
          <w:szCs w:val="30"/>
          <w:lang w:val="en-US" w:eastAsia="zh-CN"/>
        </w:rPr>
        <w:t>需提供总价和分项报价。投标总价与分项报价之和不一致的以分项报价为准计算总价。总价包含包装费、运输费、保险费、装卸费、安装调试费、技术指导费、技术资料、质保期的维护保养费、税金、安装人工费等所有费用。除合同另有约定外，甲方无需向乙方支付其他任何费用。</w:t>
      </w:r>
    </w:p>
    <w:p w14:paraId="5C313309">
      <w:pPr>
        <w:pStyle w:val="3"/>
        <w:numPr>
          <w:ilvl w:val="0"/>
          <w:numId w:val="0"/>
        </w:numPr>
        <w:snapToGrid w:val="0"/>
        <w:spacing w:line="400" w:lineRule="exact"/>
        <w:ind w:leftChars="0"/>
        <w:rPr>
          <w:rFonts w:hint="eastAsia" w:ascii="仿宋" w:hAnsi="仿宋" w:eastAsia="仿宋" w:cstheme="minorBidi"/>
          <w:sz w:val="30"/>
          <w:szCs w:val="30"/>
          <w:lang w:val="en-US" w:eastAsia="zh-CN"/>
        </w:rPr>
      </w:pPr>
      <w:r>
        <w:rPr>
          <w:rFonts w:hint="eastAsia" w:ascii="仿宋" w:hAnsi="仿宋" w:eastAsia="仿宋" w:cstheme="minorBidi"/>
          <w:sz w:val="30"/>
          <w:szCs w:val="30"/>
          <w:lang w:val="en-US" w:eastAsia="zh-CN"/>
        </w:rPr>
        <w:t>2、</w:t>
      </w:r>
      <w:r>
        <w:rPr>
          <w:rFonts w:hint="eastAsia" w:ascii="仿宋" w:hAnsi="仿宋" w:eastAsia="仿宋" w:cstheme="minorBidi"/>
          <w:sz w:val="30"/>
          <w:szCs w:val="30"/>
        </w:rPr>
        <w:t>当投标供应商的投标总价超过项目预算时，其投标将被视为无效。</w:t>
      </w:r>
    </w:p>
    <w:p w14:paraId="7D720FC8">
      <w:pPr>
        <w:pStyle w:val="3"/>
        <w:numPr>
          <w:ilvl w:val="0"/>
          <w:numId w:val="0"/>
        </w:numPr>
        <w:snapToGrid w:val="0"/>
        <w:spacing w:line="400" w:lineRule="exact"/>
        <w:ind w:leftChars="0"/>
        <w:rPr>
          <w:rFonts w:hint="eastAsia" w:ascii="仿宋" w:hAnsi="仿宋" w:eastAsia="仿宋" w:cstheme="minorBidi"/>
          <w:sz w:val="30"/>
          <w:szCs w:val="30"/>
        </w:rPr>
      </w:pPr>
      <w:r>
        <w:rPr>
          <w:rFonts w:hint="eastAsia" w:ascii="仿宋" w:hAnsi="仿宋" w:eastAsia="仿宋" w:cstheme="minorBidi"/>
          <w:sz w:val="30"/>
          <w:szCs w:val="30"/>
          <w:lang w:val="en-US" w:eastAsia="zh-CN"/>
        </w:rPr>
        <w:t>3、</w:t>
      </w:r>
      <w:r>
        <w:rPr>
          <w:rFonts w:hint="eastAsia" w:ascii="仿宋" w:hAnsi="仿宋" w:eastAsia="仿宋" w:cstheme="minorBidi"/>
          <w:sz w:val="30"/>
          <w:szCs w:val="30"/>
        </w:rPr>
        <w:t>本项目采用最低价中标方式确定中标人，如果出现报价相同的情况，采用抽签方式确定最终中标人。</w:t>
      </w:r>
    </w:p>
    <w:p w14:paraId="06E84281">
      <w:pPr>
        <w:pStyle w:val="3"/>
        <w:numPr>
          <w:ilvl w:val="0"/>
          <w:numId w:val="0"/>
        </w:numPr>
        <w:snapToGrid w:val="0"/>
        <w:spacing w:line="400" w:lineRule="exact"/>
        <w:ind w:leftChars="0"/>
        <w:rPr>
          <w:rFonts w:hint="default" w:ascii="仿宋" w:hAnsi="仿宋" w:eastAsia="仿宋" w:cstheme="minorBidi"/>
          <w:sz w:val="30"/>
          <w:szCs w:val="30"/>
          <w:lang w:val="en-US" w:eastAsia="zh-CN"/>
        </w:rPr>
      </w:pPr>
      <w:r>
        <w:rPr>
          <w:rFonts w:hint="eastAsia" w:ascii="仿宋" w:hAnsi="仿宋" w:eastAsia="仿宋" w:cstheme="minorBidi"/>
          <w:sz w:val="30"/>
          <w:szCs w:val="30"/>
          <w:lang w:val="en-US" w:eastAsia="zh-CN"/>
        </w:rPr>
        <w:t>4、分项报价不能超预算（扩展柜18万，光盘15万</w:t>
      </w:r>
      <w:bookmarkStart w:id="0" w:name="_GoBack"/>
      <w:bookmarkEnd w:id="0"/>
      <w:r>
        <w:rPr>
          <w:rFonts w:hint="eastAsia" w:ascii="仿宋" w:hAnsi="仿宋" w:eastAsia="仿宋" w:cstheme="minorBidi"/>
          <w:sz w:val="30"/>
          <w:szCs w:val="30"/>
          <w:lang w:val="en-US" w:eastAsia="zh-CN"/>
        </w:rPr>
        <w:t>）</w:t>
      </w:r>
    </w:p>
    <w:p w14:paraId="5FCB2A83">
      <w:pPr>
        <w:numPr>
          <w:ilvl w:val="0"/>
          <w:numId w:val="0"/>
        </w:numPr>
        <w:autoSpaceDE w:val="0"/>
        <w:autoSpaceDN w:val="0"/>
        <w:adjustRightInd w:val="0"/>
        <w:jc w:val="left"/>
        <w:rPr>
          <w:rFonts w:hint="default"/>
          <w:sz w:val="24"/>
          <w:lang w:val="en-US" w:eastAsia="zh-CN"/>
        </w:rPr>
      </w:pPr>
    </w:p>
    <w:p w14:paraId="5A75DD2D">
      <w:pPr>
        <w:autoSpaceDE w:val="0"/>
        <w:autoSpaceDN w:val="0"/>
        <w:adjustRightInd w:val="0"/>
        <w:ind w:firstLine="420"/>
        <w:jc w:val="left"/>
        <w:rPr>
          <w:sz w:val="24"/>
        </w:rPr>
      </w:pPr>
    </w:p>
    <w:p w14:paraId="27C00D8A">
      <w:pPr>
        <w:autoSpaceDE w:val="0"/>
        <w:autoSpaceDN w:val="0"/>
        <w:adjustRightInd w:val="0"/>
        <w:ind w:firstLine="420"/>
        <w:jc w:val="left"/>
        <w:rPr>
          <w:sz w:val="24"/>
        </w:rPr>
      </w:pPr>
    </w:p>
    <w:p w14:paraId="27275E83">
      <w:pPr>
        <w:autoSpaceDE w:val="0"/>
        <w:autoSpaceDN w:val="0"/>
        <w:adjustRightInd w:val="0"/>
        <w:ind w:firstLine="420"/>
        <w:jc w:val="left"/>
        <w:rPr>
          <w:rFonts w:hint="eastAsia"/>
          <w:sz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roma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308405F"/>
    <w:multiLevelType w:val="multilevel"/>
    <w:tmpl w:val="1308405F"/>
    <w:lvl w:ilvl="0" w:tentative="0">
      <w:start w:val="1"/>
      <w:numFmt w:val="decimal"/>
      <w:lvlText w:val="%1、"/>
      <w:lvlJc w:val="left"/>
      <w:pPr>
        <w:ind w:left="420" w:hanging="420"/>
      </w:pPr>
      <w:rPr>
        <w:rFonts w:hint="default" w:hAnsi="宋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257F48A4"/>
    <w:multiLevelType w:val="singleLevel"/>
    <w:tmpl w:val="257F48A4"/>
    <w:lvl w:ilvl="0" w:tentative="0">
      <w:start w:val="1"/>
      <w:numFmt w:val="decimal"/>
      <w:suff w:val="nothing"/>
      <w:lvlText w:val="%1、"/>
      <w:lvlJc w:val="left"/>
    </w:lvl>
  </w:abstractNum>
  <w:abstractNum w:abstractNumId="2">
    <w:nsid w:val="42DE7548"/>
    <w:multiLevelType w:val="multilevel"/>
    <w:tmpl w:val="42DE7548"/>
    <w:lvl w:ilvl="0" w:tentative="0">
      <w:start w:val="1"/>
      <w:numFmt w:val="decimal"/>
      <w:lvlText w:val="%1)"/>
      <w:lvlJc w:val="left"/>
      <w:pPr>
        <w:ind w:left="840" w:hanging="42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3">
    <w:nsid w:val="641B3327"/>
    <w:multiLevelType w:val="multilevel"/>
    <w:tmpl w:val="641B3327"/>
    <w:lvl w:ilvl="0" w:tentative="0">
      <w:start w:val="1"/>
      <w:numFmt w:val="japaneseCounting"/>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F2EA7"/>
    <w:rsid w:val="000214B2"/>
    <w:rsid w:val="00052226"/>
    <w:rsid w:val="00084BC4"/>
    <w:rsid w:val="000F3C32"/>
    <w:rsid w:val="0014530E"/>
    <w:rsid w:val="001F3074"/>
    <w:rsid w:val="00247B45"/>
    <w:rsid w:val="00465424"/>
    <w:rsid w:val="00501986"/>
    <w:rsid w:val="005A7908"/>
    <w:rsid w:val="00655B15"/>
    <w:rsid w:val="006A0A5E"/>
    <w:rsid w:val="00713A7B"/>
    <w:rsid w:val="008A5A2D"/>
    <w:rsid w:val="008E149B"/>
    <w:rsid w:val="009D78B7"/>
    <w:rsid w:val="00A05E96"/>
    <w:rsid w:val="00AA483E"/>
    <w:rsid w:val="00AB4BA7"/>
    <w:rsid w:val="00BD6D54"/>
    <w:rsid w:val="00BE372E"/>
    <w:rsid w:val="00C27CA2"/>
    <w:rsid w:val="00CF6B5A"/>
    <w:rsid w:val="00DF2EA7"/>
    <w:rsid w:val="00E51231"/>
    <w:rsid w:val="00E55922"/>
    <w:rsid w:val="00EE1939"/>
    <w:rsid w:val="00EE3627"/>
    <w:rsid w:val="00F43650"/>
    <w:rsid w:val="00F75B8C"/>
    <w:rsid w:val="02D768EE"/>
    <w:rsid w:val="04EE18E1"/>
    <w:rsid w:val="06D25372"/>
    <w:rsid w:val="10F354AA"/>
    <w:rsid w:val="10FB4D20"/>
    <w:rsid w:val="11804792"/>
    <w:rsid w:val="17FA09D0"/>
    <w:rsid w:val="180A2E6A"/>
    <w:rsid w:val="1B9F7EED"/>
    <w:rsid w:val="200060D0"/>
    <w:rsid w:val="21542B69"/>
    <w:rsid w:val="230043E8"/>
    <w:rsid w:val="276C0558"/>
    <w:rsid w:val="27F609E8"/>
    <w:rsid w:val="28E95B8F"/>
    <w:rsid w:val="2B842AF5"/>
    <w:rsid w:val="31AD12EB"/>
    <w:rsid w:val="384E5D87"/>
    <w:rsid w:val="393632F8"/>
    <w:rsid w:val="3D2D355D"/>
    <w:rsid w:val="3FFA2553"/>
    <w:rsid w:val="415732B3"/>
    <w:rsid w:val="44B0429F"/>
    <w:rsid w:val="455D22B5"/>
    <w:rsid w:val="471B495F"/>
    <w:rsid w:val="51A05401"/>
    <w:rsid w:val="56A254D7"/>
    <w:rsid w:val="586434BB"/>
    <w:rsid w:val="58F3442F"/>
    <w:rsid w:val="5A0507C0"/>
    <w:rsid w:val="64DA422B"/>
    <w:rsid w:val="6CA10EA3"/>
    <w:rsid w:val="6F437B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99" w:semiHidden="0"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8"/>
    <w:qFormat/>
    <w:uiPriority w:val="9"/>
    <w:pPr>
      <w:keepNext/>
      <w:keepLines/>
      <w:spacing w:before="340" w:after="330" w:line="578" w:lineRule="auto"/>
      <w:outlineLvl w:val="0"/>
    </w:pPr>
    <w:rPr>
      <w:b/>
      <w:bCs/>
      <w:kern w:val="44"/>
      <w:sz w:val="44"/>
      <w:szCs w:val="44"/>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Normal Indent"/>
    <w:basedOn w:val="1"/>
    <w:qFormat/>
    <w:uiPriority w:val="99"/>
    <w:pPr>
      <w:ind w:firstLine="420"/>
    </w:pPr>
    <w:rPr>
      <w:rFonts w:ascii="Times New Roman" w:hAnsi="Times New Roman" w:eastAsia="宋体" w:cs="Times New Roman"/>
      <w:szCs w:val="20"/>
    </w:rPr>
  </w:style>
  <w:style w:type="paragraph" w:styleId="4">
    <w:name w:val="Normal (Web)"/>
    <w:basedOn w:val="1"/>
    <w:qFormat/>
    <w:uiPriority w:val="0"/>
    <w:pPr>
      <w:spacing w:beforeAutospacing="1" w:afterAutospacing="1"/>
      <w:jc w:val="left"/>
    </w:pPr>
    <w:rPr>
      <w:rFonts w:cs="Times New Roman"/>
      <w:kern w:val="0"/>
      <w:sz w:val="24"/>
      <w:szCs w:val="24"/>
    </w:r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标题 1 字符"/>
    <w:basedOn w:val="7"/>
    <w:link w:val="2"/>
    <w:qFormat/>
    <w:uiPriority w:val="9"/>
    <w:rPr>
      <w:b/>
      <w:bCs/>
      <w:kern w:val="44"/>
      <w:sz w:val="44"/>
      <w:szCs w:val="44"/>
    </w:rPr>
  </w:style>
  <w:style w:type="paragraph" w:styleId="9">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1235</Words>
  <Characters>1342</Characters>
  <Lines>5</Lines>
  <Paragraphs>1</Paragraphs>
  <TotalTime>1</TotalTime>
  <ScaleCrop>false</ScaleCrop>
  <LinksUpToDate>false</LinksUpToDate>
  <CharactersWithSpaces>1368</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2023-04-24T03:41:00Z</dcterms:created>
  <dc:creator>Windows 用户</dc:creator>
  <cp:lastModifiedBy>WPS_1559547881</cp:lastModifiedBy>
  <cp:lastPrinted>2025-11-21T08:02:00Z</cp:lastPrinted>
  <dcterms:modified xsi:type="dcterms:W3CDTF">2025-11-27T00:42:55Z</dcterms:modified>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eyJoZGlkIjoiY2M3YjMwMGJmYzE3MmFjNzI1YTYzODc0OGIzNWJlOTEiLCJ1c2VySWQiOiI1NzA3NTI3MDAifQ==</vt:lpwstr>
  </property>
  <property fmtid="{D5CDD505-2E9C-101B-9397-08002B2CF9AE}" pid="3" name="KSOProductBuildVer">
    <vt:lpwstr>2052-12.1.0.23542</vt:lpwstr>
  </property>
  <property fmtid="{D5CDD505-2E9C-101B-9397-08002B2CF9AE}" pid="4" name="ICV">
    <vt:lpwstr>DAAB666E2B6C4F6C8AD6B0B81A0F44DF_12</vt:lpwstr>
  </property>
</Properties>
</file>