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F7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/>
        <w:jc w:val="center"/>
        <w:textAlignment w:val="auto"/>
        <w:rPr>
          <w:rFonts w:hint="eastAsia" w:ascii="Times New Roman" w:hAnsi="Times New Roman" w:eastAsia="仿宋" w:cs="Times New Roman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b/>
          <w:bCs/>
          <w:kern w:val="2"/>
          <w:sz w:val="44"/>
          <w:szCs w:val="44"/>
          <w:lang w:val="en-US" w:eastAsia="zh-CN" w:bidi="ar-SA"/>
        </w:rPr>
        <w:t>关于“泉州发布”官方小程序及相关模块</w:t>
      </w:r>
    </w:p>
    <w:p w14:paraId="7DDF72B9">
      <w:pPr>
        <w:pStyle w:val="5"/>
        <w:ind w:left="0" w:leftChars="0" w:firstLine="0" w:firstLineChars="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bCs/>
          <w:sz w:val="44"/>
          <w:szCs w:val="44"/>
          <w:lang w:val="en-US" w:eastAsia="zh-CN"/>
        </w:rPr>
        <w:t>开发管理项目服务招投标方案</w:t>
      </w:r>
    </w:p>
    <w:p w14:paraId="7EA165B2">
      <w:pPr>
        <w:spacing w:line="560" w:lineRule="exact"/>
        <w:jc w:val="center"/>
        <w:rPr>
          <w:rFonts w:hint="eastAsia" w:ascii="宋体" w:hAnsi="宋体" w:eastAsia="宋体" w:cs="仿宋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 xml:space="preserve">    </w:t>
      </w:r>
    </w:p>
    <w:p w14:paraId="2946A11E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“泉州发布”官方小程序及相关模块的开发、服务器与基础设施、运营与维护等运维服务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现面向社会征集拥有相关经验和资源的优质公司，共同参与项目服务，实现资源优势互补。</w:t>
      </w:r>
    </w:p>
    <w:p w14:paraId="19FE96DE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根据方案需求，需要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进行“泉州发布”官方小程序及相关模块开发管理工作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核心功能包括“海海人声”闽南语歌手大奖赛线上登记预约及摇号系统、正音书院表演观演预约、你好泉州城市推介文图展示等模块，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根据预算，预计采购费用最高限价为9.85万元。</w:t>
      </w:r>
    </w:p>
    <w:p w14:paraId="18C04682"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一、采购内容：</w:t>
      </w:r>
    </w:p>
    <w:p w14:paraId="6461B056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“泉州发布”官方小程序及相关模块开发管理项目服务</w:t>
      </w:r>
    </w:p>
    <w:p w14:paraId="5218D469"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二、招标金额：9.85万元以内</w:t>
      </w:r>
    </w:p>
    <w:p w14:paraId="5449C120"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三、使用时间：2025年12月中旬（按最终活动日期）</w:t>
      </w:r>
    </w:p>
    <w:p w14:paraId="5F1EA962"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四、使用地点：泉州</w:t>
      </w:r>
    </w:p>
    <w:p w14:paraId="1151C226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五、招标方式：采用方案评分方式进行公开招标。</w:t>
      </w:r>
    </w:p>
    <w:p w14:paraId="3128DB28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六、开标时间：11月10日（具体电话通知）   </w:t>
      </w:r>
    </w:p>
    <w:p w14:paraId="1A484821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七、开标地点：泉州广播电视台会议室</w:t>
      </w:r>
    </w:p>
    <w:p w14:paraId="5C1E45A6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八、应标需提供以下材料：</w:t>
      </w:r>
    </w:p>
    <w:p w14:paraId="6B98D215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方案、预算报价、本单位相关资质证书、投标单位联系姓名及电话；报名方式：材料请发送邮箱12668565@qq.com</w:t>
      </w:r>
    </w:p>
    <w:p w14:paraId="38C8DA39"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文件发送请注明：“泉州发布”官方小程序及相关模块开发管理项目服务</w:t>
      </w:r>
    </w:p>
    <w:p w14:paraId="24AF429C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联系人：李女士 13599171066</w:t>
      </w:r>
    </w:p>
    <w:p w14:paraId="0194F37C">
      <w:pPr>
        <w:numPr>
          <w:ilvl w:val="0"/>
          <w:numId w:val="1"/>
        </w:num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具体执行项目：</w:t>
      </w:r>
    </w:p>
    <w:tbl>
      <w:tblPr>
        <w:tblStyle w:val="2"/>
        <w:tblpPr w:leftFromText="180" w:rightFromText="180" w:vertAnchor="text" w:horzAnchor="page" w:tblpX="1456" w:tblpY="468"/>
        <w:tblOverlap w:val="never"/>
        <w:tblW w:w="537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2087"/>
        <w:gridCol w:w="5525"/>
        <w:gridCol w:w="766"/>
        <w:gridCol w:w="335"/>
      </w:tblGrid>
      <w:tr w14:paraId="7D1E2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AC30D7C">
            <w:pPr>
              <w:numPr>
                <w:ilvl w:val="0"/>
                <w:numId w:val="0"/>
              </w:num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8"/>
                <w:lang w:val="en-US" w:eastAsia="zh-CN"/>
              </w:rPr>
              <w:t>“泉州发布”官方小程序及相关模块开发管理项目服务需求内容</w:t>
            </w:r>
          </w:p>
        </w:tc>
      </w:tr>
      <w:tr w14:paraId="439D3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2A306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  <w:t>编号</w:t>
            </w: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0DAB0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  <w:t>内容</w:t>
            </w:r>
          </w:p>
        </w:tc>
        <w:tc>
          <w:tcPr>
            <w:tcW w:w="3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AA13F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1A643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F828D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  <w:t>数量</w:t>
            </w:r>
          </w:p>
        </w:tc>
      </w:tr>
      <w:tr w14:paraId="396EE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FAFE95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  <w:t>一、</w:t>
            </w:r>
            <w:r>
              <w:rPr>
                <w:rStyle w:val="6"/>
                <w:rFonts w:hint="default" w:hAnsi="宋体"/>
                <w:sz w:val="24"/>
                <w:szCs w:val="24"/>
                <w:lang w:val="en-US" w:eastAsia="zh-CN"/>
              </w:rPr>
              <w:t>“泉州发布”官方小程序及相关模块开发</w:t>
            </w:r>
            <w:r>
              <w:rPr>
                <w:rStyle w:val="6"/>
                <w:rFonts w:hint="default" w:hAnsi="宋体"/>
                <w:sz w:val="24"/>
                <w:szCs w:val="24"/>
                <w:lang w:val="en-US" w:eastAsia="zh-CN"/>
              </w:rPr>
              <w:tab/>
            </w:r>
          </w:p>
        </w:tc>
      </w:tr>
      <w:tr w14:paraId="153E8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AF2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5DD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  <w:t>UI/UX设计</w:t>
            </w:r>
          </w:p>
        </w:tc>
        <w:tc>
          <w:tcPr>
            <w:tcW w:w="3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327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  <w:t>包括界面设计、交互设计、用户体验优化，需满足部分定制化需求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DEF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次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3FE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EF04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049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32E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  <w:t>前端开发</w:t>
            </w:r>
          </w:p>
        </w:tc>
        <w:tc>
          <w:tcPr>
            <w:tcW w:w="3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992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  <w:t>小程序端页面实现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C16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次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2F8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4E158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BD6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A1D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  <w:t>后端开发</w:t>
            </w:r>
          </w:p>
        </w:tc>
        <w:tc>
          <w:tcPr>
            <w:tcW w:w="3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85E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  <w:t>服务器、数据库、API接口开发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D7E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次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86E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784F9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668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2C9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  <w:t>项目管理与测试</w:t>
            </w:r>
          </w:p>
        </w:tc>
        <w:tc>
          <w:tcPr>
            <w:tcW w:w="3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CDF75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  <w:t>确保项目按时按质完成，并进行全面功能、性能、兼容性测试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BA3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次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5F4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6AAF0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AC9F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  <w:t>二、</w:t>
            </w:r>
            <w:r>
              <w:rPr>
                <w:rStyle w:val="6"/>
                <w:rFonts w:hint="default" w:hAnsi="宋体" w:eastAsia="仿宋_GB2312"/>
                <w:sz w:val="24"/>
                <w:szCs w:val="24"/>
                <w:lang w:val="en-US" w:eastAsia="zh-CN"/>
              </w:rPr>
              <w:t>服务器与基础设施</w:t>
            </w:r>
          </w:p>
        </w:tc>
      </w:tr>
      <w:tr w14:paraId="70AFE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51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809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  <w:t>云服务器/托管</w:t>
            </w:r>
          </w:p>
        </w:tc>
        <w:tc>
          <w:tcPr>
            <w:tcW w:w="3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B91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  <w:t>据用户量和数据量选择配置（如腾讯云、阿里云），初期可选择中等配置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112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年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A51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EBB0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54A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ADE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  <w:t>域名与SSL证书</w:t>
            </w:r>
          </w:p>
        </w:tc>
        <w:tc>
          <w:tcPr>
            <w:tcW w:w="3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4F5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  <w:t>域名费用，SSL证书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BCD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年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4B1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6D52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4FA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AD117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  <w:t>小程序认证费</w:t>
            </w:r>
          </w:p>
        </w:tc>
        <w:tc>
          <w:tcPr>
            <w:tcW w:w="3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3BE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/>
                <w:sz w:val="24"/>
                <w:szCs w:val="24"/>
                <w:lang w:val="en-US" w:eastAsia="zh-CN"/>
              </w:rPr>
              <w:t>向微信平台支付的认证审核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673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年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CEA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11C3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FB5B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  <w:t>三</w:t>
            </w:r>
            <w:r>
              <w:rPr>
                <w:rStyle w:val="6"/>
                <w:rFonts w:hint="default" w:hAnsi="宋体" w:eastAsia="仿宋_GB2312"/>
                <w:sz w:val="24"/>
                <w:szCs w:val="24"/>
                <w:lang w:val="en-US" w:eastAsia="zh-CN"/>
              </w:rPr>
              <w:t>、运营与维护</w:t>
            </w:r>
          </w:p>
        </w:tc>
      </w:tr>
      <w:tr w14:paraId="18555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017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03D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  <w:t>技术维护与更新</w:t>
            </w:r>
          </w:p>
        </w:tc>
        <w:tc>
          <w:tcPr>
            <w:tcW w:w="3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28E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  <w:t>用于BUG修复、适配新系统等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721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年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858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6A495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61C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22D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  <w:t>内容更新与运营</w:t>
            </w:r>
          </w:p>
        </w:tc>
        <w:tc>
          <w:tcPr>
            <w:tcW w:w="3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6F3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eastAsia" w:hAnsi="宋体" w:eastAsia="仿宋_GB2312"/>
                <w:sz w:val="24"/>
                <w:szCs w:val="24"/>
                <w:lang w:val="en-US" w:eastAsia="zh-CN"/>
              </w:rPr>
              <w:t>内容更新、管理及线上活动运营网络推流、维护等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5E2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年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DD8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</w:tbl>
    <w:p w14:paraId="7E5582A4">
      <w:pPr>
        <w:rPr>
          <w:rFonts w:hint="eastAsia"/>
          <w:sz w:val="28"/>
          <w:szCs w:val="28"/>
          <w:lang w:val="en-US" w:eastAsia="zh-CN"/>
        </w:rPr>
      </w:pPr>
    </w:p>
    <w:p w14:paraId="0505B8E4"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十、评分标书</w:t>
      </w:r>
    </w:p>
    <w:p w14:paraId="3A50745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、 评分标准总览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1200"/>
        <w:gridCol w:w="990"/>
        <w:gridCol w:w="4696"/>
      </w:tblGrid>
      <w:tr w14:paraId="29989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6" w:type="dxa"/>
          </w:tcPr>
          <w:p w14:paraId="33F9408F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评分大类</w:t>
            </w:r>
          </w:p>
        </w:tc>
        <w:tc>
          <w:tcPr>
            <w:tcW w:w="1200" w:type="dxa"/>
          </w:tcPr>
          <w:p w14:paraId="64C2A02C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 权重</w:t>
            </w:r>
          </w:p>
        </w:tc>
        <w:tc>
          <w:tcPr>
            <w:tcW w:w="990" w:type="dxa"/>
          </w:tcPr>
          <w:p w14:paraId="0F843ABA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满分</w:t>
            </w:r>
          </w:p>
        </w:tc>
        <w:tc>
          <w:tcPr>
            <w:tcW w:w="4696" w:type="dxa"/>
          </w:tcPr>
          <w:p w14:paraId="34400410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 说明</w:t>
            </w:r>
          </w:p>
        </w:tc>
      </w:tr>
      <w:tr w14:paraId="7480A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</w:tcPr>
          <w:p w14:paraId="428622B1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技术方案分</w:t>
            </w:r>
          </w:p>
        </w:tc>
        <w:tc>
          <w:tcPr>
            <w:tcW w:w="1200" w:type="dxa"/>
          </w:tcPr>
          <w:p w14:paraId="700FBFEB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70%</w:t>
            </w:r>
          </w:p>
        </w:tc>
        <w:tc>
          <w:tcPr>
            <w:tcW w:w="990" w:type="dxa"/>
          </w:tcPr>
          <w:p w14:paraId="150FDF40">
            <w:pP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70</w:t>
            </w:r>
          </w:p>
        </w:tc>
        <w:tc>
          <w:tcPr>
            <w:tcW w:w="4696" w:type="dxa"/>
          </w:tcPr>
          <w:p w14:paraId="135116CE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针对投标方案的技术可行性、完整性、创新性等进行评分</w:t>
            </w:r>
          </w:p>
        </w:tc>
      </w:tr>
      <w:tr w14:paraId="79FF6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</w:tcPr>
          <w:p w14:paraId="356F6F7C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商务综合分</w:t>
            </w:r>
          </w:p>
        </w:tc>
        <w:tc>
          <w:tcPr>
            <w:tcW w:w="1200" w:type="dxa"/>
          </w:tcPr>
          <w:p w14:paraId="6DBD8AA9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20% </w:t>
            </w:r>
          </w:p>
        </w:tc>
        <w:tc>
          <w:tcPr>
            <w:tcW w:w="990" w:type="dxa"/>
          </w:tcPr>
          <w:p w14:paraId="1C343807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4696" w:type="dxa"/>
          </w:tcPr>
          <w:p w14:paraId="2CD510A7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针对公司实力、团队经验、售后服务等进行评分</w:t>
            </w:r>
          </w:p>
        </w:tc>
      </w:tr>
      <w:tr w14:paraId="2E65B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</w:tcPr>
          <w:p w14:paraId="3916B71E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价格分</w:t>
            </w:r>
          </w:p>
        </w:tc>
        <w:tc>
          <w:tcPr>
            <w:tcW w:w="1200" w:type="dxa"/>
          </w:tcPr>
          <w:p w14:paraId="75EC2DCB">
            <w:pP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10%</w:t>
            </w:r>
          </w:p>
        </w:tc>
        <w:tc>
          <w:tcPr>
            <w:tcW w:w="990" w:type="dxa"/>
          </w:tcPr>
          <w:p w14:paraId="32F9DFEE">
            <w:pP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4696" w:type="dxa"/>
          </w:tcPr>
          <w:p w14:paraId="45B11F8C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针对投标报价的合理性和性价比进行评分</w:t>
            </w:r>
          </w:p>
        </w:tc>
      </w:tr>
    </w:tbl>
    <w:p w14:paraId="003A00B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、 详细评分细则</w:t>
      </w:r>
    </w:p>
    <w:p w14:paraId="457C61A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①</w:t>
      </w:r>
      <w:r>
        <w:rPr>
          <w:rFonts w:hint="eastAsia"/>
          <w:sz w:val="28"/>
          <w:szCs w:val="28"/>
        </w:rPr>
        <w:t>.技术方案分 (权重70%， 满分70分)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1140"/>
        <w:gridCol w:w="5176"/>
      </w:tblGrid>
      <w:tr w14:paraId="614EE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6" w:type="dxa"/>
          </w:tcPr>
          <w:p w14:paraId="3C250C1E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评审子项</w:t>
            </w:r>
          </w:p>
        </w:tc>
        <w:tc>
          <w:tcPr>
            <w:tcW w:w="1140" w:type="dxa"/>
          </w:tcPr>
          <w:p w14:paraId="3AAC3DED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分值</w:t>
            </w:r>
          </w:p>
        </w:tc>
        <w:tc>
          <w:tcPr>
            <w:tcW w:w="5176" w:type="dxa"/>
          </w:tcPr>
          <w:p w14:paraId="77D092F3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评分标准</w:t>
            </w:r>
          </w:p>
        </w:tc>
      </w:tr>
      <w:tr w14:paraId="7EF91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6" w:type="dxa"/>
          </w:tcPr>
          <w:p w14:paraId="223FE935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需求理解与分析</w:t>
            </w:r>
          </w:p>
        </w:tc>
        <w:tc>
          <w:tcPr>
            <w:tcW w:w="1140" w:type="dxa"/>
          </w:tcPr>
          <w:p w14:paraId="5865CEA9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5176" w:type="dxa"/>
          </w:tcPr>
          <w:p w14:paraId="778465B6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准确理解项目需求，对业务逻辑、用户群体分析透彻，能提出有价值的补充或优化建议。</w:t>
            </w:r>
          </w:p>
        </w:tc>
      </w:tr>
      <w:tr w14:paraId="76AFD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6" w:type="dxa"/>
          </w:tcPr>
          <w:p w14:paraId="74CD60B5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技术方案与架构</w:t>
            </w:r>
          </w:p>
        </w:tc>
        <w:tc>
          <w:tcPr>
            <w:tcW w:w="1140" w:type="dxa"/>
          </w:tcPr>
          <w:p w14:paraId="7A7FD03A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5176" w:type="dxa"/>
          </w:tcPr>
          <w:p w14:paraId="5E934F7A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技术选型合理（前端、后端、数据库），系统架构设计清晰、稳定、可扩展，能保障高性能和高安全性。</w:t>
            </w:r>
          </w:p>
        </w:tc>
      </w:tr>
      <w:tr w14:paraId="1D082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6" w:type="dxa"/>
          </w:tcPr>
          <w:p w14:paraId="7FE1C7C4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功能实现方案</w:t>
            </w:r>
          </w:p>
        </w:tc>
        <w:tc>
          <w:tcPr>
            <w:tcW w:w="1140" w:type="dxa"/>
          </w:tcPr>
          <w:p w14:paraId="6EAB77BE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5176" w:type="dxa"/>
          </w:tcPr>
          <w:p w14:paraId="3543ECF6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对核心功能和复杂功能（如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报名，核销，摇号</w:t>
            </w:r>
            <w:r>
              <w:rPr>
                <w:rFonts w:hint="eastAsia"/>
                <w:sz w:val="24"/>
                <w:szCs w:val="24"/>
              </w:rPr>
              <w:t>等）的实现思路清晰、方案成熟可靠。</w:t>
            </w:r>
          </w:p>
        </w:tc>
      </w:tr>
      <w:tr w14:paraId="4BB01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6" w:type="dxa"/>
          </w:tcPr>
          <w:p w14:paraId="5E6BAF7F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UI/UX设计能力</w:t>
            </w:r>
          </w:p>
        </w:tc>
        <w:tc>
          <w:tcPr>
            <w:tcW w:w="1140" w:type="dxa"/>
          </w:tcPr>
          <w:p w14:paraId="588A6814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5176" w:type="dxa"/>
          </w:tcPr>
          <w:p w14:paraId="16318B95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提供初步的UI风格稿或设计思路，界面美观、用户体验流畅，符合目标用户审美和操作习惯。</w:t>
            </w:r>
          </w:p>
        </w:tc>
      </w:tr>
      <w:tr w14:paraId="42BC0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6" w:type="dxa"/>
          </w:tcPr>
          <w:p w14:paraId="12598342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项目计划与管理</w:t>
            </w:r>
          </w:p>
        </w:tc>
        <w:tc>
          <w:tcPr>
            <w:tcW w:w="1140" w:type="dxa"/>
          </w:tcPr>
          <w:p w14:paraId="40B304D6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5176" w:type="dxa"/>
          </w:tcPr>
          <w:p w14:paraId="0DBD7516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开发计划合理，里程碑明确，人员安排到位，风险识别准确并有应对措施。</w:t>
            </w:r>
          </w:p>
        </w:tc>
      </w:tr>
    </w:tbl>
    <w:p w14:paraId="25BF0ED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②</w:t>
      </w:r>
      <w:r>
        <w:rPr>
          <w:rFonts w:hint="eastAsia"/>
          <w:sz w:val="28"/>
          <w:szCs w:val="28"/>
        </w:rPr>
        <w:t>商务综合分 (权重20%， 满分20分)</w:t>
      </w:r>
    </w:p>
    <w:tbl>
      <w:tblPr>
        <w:tblStyle w:val="3"/>
        <w:tblW w:w="85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1"/>
        <w:gridCol w:w="1020"/>
        <w:gridCol w:w="5175"/>
      </w:tblGrid>
      <w:tr w14:paraId="66FA0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  <w:shd w:val="clear" w:color="auto" w:fill="auto"/>
            <w:vAlign w:val="top"/>
          </w:tcPr>
          <w:p w14:paraId="44DD0F10"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评审子项</w:t>
            </w:r>
          </w:p>
        </w:tc>
        <w:tc>
          <w:tcPr>
            <w:tcW w:w="1020" w:type="dxa"/>
            <w:shd w:val="clear" w:color="auto" w:fill="auto"/>
            <w:vAlign w:val="top"/>
          </w:tcPr>
          <w:p w14:paraId="36222C17"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分值</w:t>
            </w:r>
          </w:p>
        </w:tc>
        <w:tc>
          <w:tcPr>
            <w:tcW w:w="5175" w:type="dxa"/>
            <w:shd w:val="clear" w:color="auto" w:fill="auto"/>
            <w:vAlign w:val="top"/>
          </w:tcPr>
          <w:p w14:paraId="74BF48F0"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评分标准</w:t>
            </w:r>
          </w:p>
        </w:tc>
      </w:tr>
      <w:tr w14:paraId="0C764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</w:tcPr>
          <w:p w14:paraId="310C3E51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公司综合实力</w:t>
            </w:r>
          </w:p>
        </w:tc>
        <w:tc>
          <w:tcPr>
            <w:tcW w:w="1020" w:type="dxa"/>
          </w:tcPr>
          <w:p w14:paraId="177417A7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5分</w:t>
            </w:r>
          </w:p>
        </w:tc>
        <w:tc>
          <w:tcPr>
            <w:tcW w:w="5175" w:type="dxa"/>
          </w:tcPr>
          <w:p w14:paraId="7681A0B4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公司资质齐全，经营状况良好，行业声誉高，具备相关技术认证者优先。</w:t>
            </w:r>
          </w:p>
        </w:tc>
      </w:tr>
      <w:tr w14:paraId="4B1E3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</w:tcPr>
          <w:p w14:paraId="72C452E0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同类项目案例</w:t>
            </w:r>
          </w:p>
        </w:tc>
        <w:tc>
          <w:tcPr>
            <w:tcW w:w="1020" w:type="dxa"/>
          </w:tcPr>
          <w:p w14:paraId="2B14CAD4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5175" w:type="dxa"/>
          </w:tcPr>
          <w:p w14:paraId="7028E0A0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提供类似行业或功能的成功案例，案例数量多、质量高、用户反馈好。</w:t>
            </w:r>
          </w:p>
        </w:tc>
      </w:tr>
      <w:tr w14:paraId="0826E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</w:tcPr>
          <w:p w14:paraId="617D5EA9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项目团队配置</w:t>
            </w:r>
          </w:p>
        </w:tc>
        <w:tc>
          <w:tcPr>
            <w:tcW w:w="1020" w:type="dxa"/>
          </w:tcPr>
          <w:p w14:paraId="302AD17B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5分</w:t>
            </w:r>
          </w:p>
        </w:tc>
        <w:tc>
          <w:tcPr>
            <w:tcW w:w="5175" w:type="dxa"/>
          </w:tcPr>
          <w:p w14:paraId="5E1D50A3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团队核心成员（项目经理、架构师、设计师、开发工程师）经验丰富，简历真实可信。</w:t>
            </w:r>
          </w:p>
        </w:tc>
      </w:tr>
      <w:tr w14:paraId="21A81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</w:tcPr>
          <w:p w14:paraId="2F0B8555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售后与维护方案</w:t>
            </w:r>
          </w:p>
        </w:tc>
        <w:tc>
          <w:tcPr>
            <w:tcW w:w="1020" w:type="dxa"/>
          </w:tcPr>
          <w:p w14:paraId="26CD8651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5175" w:type="dxa"/>
          </w:tcPr>
          <w:p w14:paraId="345E0EF8"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提供完善的售后服务体系、技术支持和故障响应机制，承诺免费维护期及内容明确。</w:t>
            </w:r>
          </w:p>
        </w:tc>
      </w:tr>
    </w:tbl>
    <w:p w14:paraId="66D22D3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③</w:t>
      </w:r>
      <w:r>
        <w:rPr>
          <w:rFonts w:hint="eastAsia"/>
          <w:sz w:val="28"/>
          <w:szCs w:val="28"/>
        </w:rPr>
        <w:t xml:space="preserve"> 价格分 (权重10%， 满分10分）</w:t>
      </w:r>
    </w:p>
    <w:p w14:paraId="50C7B6F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评分方法：以满足招标文件要求且投标价格最低的评标报价为评标基准价，其价格分为满分10分。其他投标方的价格分统一按照下列公式计算：</w:t>
      </w:r>
    </w:p>
    <w:p w14:paraId="50BD64E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价格分计算公式 = (评标基准价 / 投标报价) × 10% × 100</w:t>
      </w:r>
    </w:p>
    <w:p w14:paraId="5C71AEEA">
      <w:pPr>
        <w:tabs>
          <w:tab w:val="left" w:pos="1050"/>
        </w:tabs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· 示例： 所有有效投标中，最低报价为80万元，则其价格分为10分。若另一家投标报价为100万元，则其价格分 = (80 / 100) × 10 = 8分。</w:t>
      </w:r>
    </w:p>
    <w:p w14:paraId="5B4A5A8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、 评委打分表（示例）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2205"/>
        <w:gridCol w:w="1980"/>
        <w:gridCol w:w="1350"/>
        <w:gridCol w:w="1786"/>
      </w:tblGrid>
      <w:tr w14:paraId="13FB9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68BF4A93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投标单位名称</w:t>
            </w:r>
          </w:p>
        </w:tc>
        <w:tc>
          <w:tcPr>
            <w:tcW w:w="5116" w:type="dxa"/>
            <w:gridSpan w:val="3"/>
            <w:vAlign w:val="center"/>
          </w:tcPr>
          <w:p w14:paraId="588902BA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528CC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4A019750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评分项目</w:t>
            </w:r>
          </w:p>
        </w:tc>
        <w:tc>
          <w:tcPr>
            <w:tcW w:w="1980" w:type="dxa"/>
            <w:vAlign w:val="center"/>
          </w:tcPr>
          <w:p w14:paraId="74CD6E4E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A公司</w:t>
            </w:r>
          </w:p>
        </w:tc>
        <w:tc>
          <w:tcPr>
            <w:tcW w:w="1350" w:type="dxa"/>
            <w:vAlign w:val="center"/>
          </w:tcPr>
          <w:p w14:paraId="1B468625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B公司</w:t>
            </w:r>
          </w:p>
        </w:tc>
        <w:tc>
          <w:tcPr>
            <w:tcW w:w="1786" w:type="dxa"/>
            <w:vAlign w:val="center"/>
          </w:tcPr>
          <w:p w14:paraId="2DBA6E24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C公司</w:t>
            </w:r>
          </w:p>
        </w:tc>
      </w:tr>
      <w:tr w14:paraId="181C0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7DA2063A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技术方案分 (70分)</w:t>
            </w:r>
          </w:p>
        </w:tc>
        <w:tc>
          <w:tcPr>
            <w:tcW w:w="1980" w:type="dxa"/>
            <w:vAlign w:val="center"/>
          </w:tcPr>
          <w:p w14:paraId="6B348161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0A5AD89B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66224630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1A1E8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3EB10E74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需求理解与分析 (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/>
                <w:sz w:val="28"/>
                <w:szCs w:val="28"/>
              </w:rPr>
              <w:t>分)</w:t>
            </w:r>
          </w:p>
        </w:tc>
        <w:tc>
          <w:tcPr>
            <w:tcW w:w="1980" w:type="dxa"/>
            <w:vAlign w:val="center"/>
          </w:tcPr>
          <w:p w14:paraId="59AA87B5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53381C4B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7BCB9BB3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23479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25CF0E97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技术方案与架构 (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/>
                <w:sz w:val="28"/>
                <w:szCs w:val="28"/>
              </w:rPr>
              <w:t>分)</w:t>
            </w:r>
          </w:p>
        </w:tc>
        <w:tc>
          <w:tcPr>
            <w:tcW w:w="1980" w:type="dxa"/>
            <w:vAlign w:val="center"/>
          </w:tcPr>
          <w:p w14:paraId="2C4DDB90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563C42C1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184F64E1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03C71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71020681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功能实现方案 (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/>
                <w:sz w:val="28"/>
                <w:szCs w:val="28"/>
              </w:rPr>
              <w:t>分)</w:t>
            </w:r>
          </w:p>
        </w:tc>
        <w:tc>
          <w:tcPr>
            <w:tcW w:w="1980" w:type="dxa"/>
            <w:vAlign w:val="center"/>
          </w:tcPr>
          <w:p w14:paraId="19241DB0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767F4C83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1C37DE8C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23214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4F5369A9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UI/UX设计能力 (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sz w:val="28"/>
                <w:szCs w:val="28"/>
              </w:rPr>
              <w:t>分)</w:t>
            </w:r>
          </w:p>
        </w:tc>
        <w:tc>
          <w:tcPr>
            <w:tcW w:w="1980" w:type="dxa"/>
            <w:vAlign w:val="center"/>
          </w:tcPr>
          <w:p w14:paraId="14E82105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62EE67B3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540B68DD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19E58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06F9C93B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项目计划与管理 (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/>
                <w:sz w:val="28"/>
                <w:szCs w:val="28"/>
              </w:rPr>
              <w:t>分)</w:t>
            </w:r>
          </w:p>
        </w:tc>
        <w:tc>
          <w:tcPr>
            <w:tcW w:w="1980" w:type="dxa"/>
            <w:vAlign w:val="center"/>
          </w:tcPr>
          <w:p w14:paraId="3891BDE3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407D61B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5A45C0D8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48F9F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52D93E88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小计</w:t>
            </w:r>
          </w:p>
        </w:tc>
        <w:tc>
          <w:tcPr>
            <w:tcW w:w="1980" w:type="dxa"/>
            <w:vAlign w:val="center"/>
          </w:tcPr>
          <w:p w14:paraId="08307B5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7907B242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472C9C1E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06D75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5D6C01E5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商务综合分 (20分)</w:t>
            </w:r>
          </w:p>
        </w:tc>
        <w:tc>
          <w:tcPr>
            <w:tcW w:w="1980" w:type="dxa"/>
            <w:vAlign w:val="center"/>
          </w:tcPr>
          <w:p w14:paraId="5E909F0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3B02FDF1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24A07515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21DC2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5D344216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公司综合实力 (5分)</w:t>
            </w:r>
          </w:p>
        </w:tc>
        <w:tc>
          <w:tcPr>
            <w:tcW w:w="1980" w:type="dxa"/>
            <w:vAlign w:val="center"/>
          </w:tcPr>
          <w:p w14:paraId="75540951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1A872B51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1569F065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54C18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21070F56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同类项目案例 (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sz w:val="28"/>
                <w:szCs w:val="28"/>
              </w:rPr>
              <w:t>分)</w:t>
            </w:r>
          </w:p>
        </w:tc>
        <w:tc>
          <w:tcPr>
            <w:tcW w:w="1980" w:type="dxa"/>
            <w:vAlign w:val="center"/>
          </w:tcPr>
          <w:p w14:paraId="6DA4C563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0227CEC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0717B4E6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47A2C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21298562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项目团队配置 (5分)</w:t>
            </w:r>
          </w:p>
        </w:tc>
        <w:tc>
          <w:tcPr>
            <w:tcW w:w="1980" w:type="dxa"/>
            <w:vAlign w:val="center"/>
          </w:tcPr>
          <w:p w14:paraId="47B44DEB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39EFEE20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07E3E186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CA7F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02848281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售后与维护方案 (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sz w:val="28"/>
                <w:szCs w:val="28"/>
              </w:rPr>
              <w:t>分)</w:t>
            </w:r>
          </w:p>
        </w:tc>
        <w:tc>
          <w:tcPr>
            <w:tcW w:w="1980" w:type="dxa"/>
            <w:vAlign w:val="center"/>
          </w:tcPr>
          <w:p w14:paraId="5EF4ED00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6FB767D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41D824A6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7F28D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075B4025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小计</w:t>
            </w:r>
          </w:p>
        </w:tc>
        <w:tc>
          <w:tcPr>
            <w:tcW w:w="1980" w:type="dxa"/>
            <w:vAlign w:val="center"/>
          </w:tcPr>
          <w:p w14:paraId="49E8D63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1657F23D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2EF29B9B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12ED3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1201" w:type="dxa"/>
            <w:vMerge w:val="restart"/>
            <w:vAlign w:val="center"/>
          </w:tcPr>
          <w:p w14:paraId="4485EAC2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价格分 (10分)</w:t>
            </w:r>
          </w:p>
        </w:tc>
        <w:tc>
          <w:tcPr>
            <w:tcW w:w="2205" w:type="dxa"/>
            <w:vAlign w:val="center"/>
          </w:tcPr>
          <w:p w14:paraId="6CABC9B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投标总报价</w:t>
            </w:r>
          </w:p>
          <w:p w14:paraId="45A06C4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（万元）</w:t>
            </w:r>
          </w:p>
        </w:tc>
        <w:tc>
          <w:tcPr>
            <w:tcW w:w="1980" w:type="dxa"/>
            <w:vAlign w:val="center"/>
          </w:tcPr>
          <w:p w14:paraId="52D0078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2FBC6FCD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44B1F4FB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2141D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1201" w:type="dxa"/>
            <w:vMerge w:val="continue"/>
            <w:vAlign w:val="center"/>
          </w:tcPr>
          <w:p w14:paraId="138F3953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205" w:type="dxa"/>
            <w:vAlign w:val="center"/>
          </w:tcPr>
          <w:p w14:paraId="0046424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根据公式计算得分</w:t>
            </w:r>
          </w:p>
        </w:tc>
        <w:tc>
          <w:tcPr>
            <w:tcW w:w="1980" w:type="dxa"/>
            <w:vAlign w:val="center"/>
          </w:tcPr>
          <w:p w14:paraId="55378C9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280B465A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214F5DBE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02DD0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1614E9E1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最终总分</w:t>
            </w:r>
          </w:p>
        </w:tc>
        <w:tc>
          <w:tcPr>
            <w:tcW w:w="1980" w:type="dxa"/>
            <w:vAlign w:val="center"/>
          </w:tcPr>
          <w:p w14:paraId="3D313712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268CB5B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5CD61865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2AF49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3406" w:type="dxa"/>
            <w:gridSpan w:val="2"/>
            <w:vAlign w:val="center"/>
          </w:tcPr>
          <w:p w14:paraId="4C565E04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排名</w:t>
            </w:r>
          </w:p>
        </w:tc>
        <w:tc>
          <w:tcPr>
            <w:tcW w:w="1980" w:type="dxa"/>
            <w:vAlign w:val="center"/>
          </w:tcPr>
          <w:p w14:paraId="719E950A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 w14:paraId="26A587DA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 w14:paraId="0D12344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 w14:paraId="043AE0EC"/>
    <w:p w14:paraId="3DFC96E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F82D76"/>
    <w:multiLevelType w:val="singleLevel"/>
    <w:tmpl w:val="ABF82D76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2B55A4"/>
    <w:rsid w:val="09DA0E00"/>
    <w:rsid w:val="143C7E97"/>
    <w:rsid w:val="1E2622AF"/>
    <w:rsid w:val="327A6C8A"/>
    <w:rsid w:val="4B2B55A4"/>
    <w:rsid w:val="53D61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首行缩进"/>
    <w:basedOn w:val="1"/>
    <w:qFormat/>
    <w:uiPriority w:val="0"/>
    <w:pPr>
      <w:spacing w:line="360" w:lineRule="auto"/>
      <w:ind w:firstLine="480" w:firstLineChars="200"/>
    </w:pPr>
    <w:rPr>
      <w:rFonts w:ascii="Calibri" w:hAnsi="Calibri"/>
      <w:sz w:val="24"/>
      <w:lang w:val="zh-CN"/>
    </w:rPr>
  </w:style>
  <w:style w:type="character" w:customStyle="1" w:styleId="6">
    <w:name w:val="font61"/>
    <w:autoRedefine/>
    <w:qFormat/>
    <w:uiPriority w:val="99"/>
    <w:rPr>
      <w:rFonts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964</Words>
  <Characters>1025</Characters>
  <Lines>0</Lines>
  <Paragraphs>0</Paragraphs>
  <TotalTime>3</TotalTime>
  <ScaleCrop>false</ScaleCrop>
  <LinksUpToDate>false</LinksUpToDate>
  <CharactersWithSpaces>1041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2025-10-30T02:03:00Z</dcterms:created>
  <dc:creator>玉色妖姬</dc:creator>
  <cp:lastModifiedBy>移</cp:lastModifiedBy>
  <dcterms:modified xsi:type="dcterms:W3CDTF">2025-11-03T14:17:28Z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684E6291203B426E8C2656C863BD6FB6_13</vt:lpwstr>
  </property>
  <property fmtid="{D5CDD505-2E9C-101B-9397-08002B2CF9AE}" pid="4" name="KSOTemplateDocerSaveRecord">
    <vt:lpwstr>eyJoZGlkIjoiZWE1Yzk2MjdiZDc0YzdmNmUzMzU3NjU5MzY4NDQyNDYiLCJ1c2VySWQiOiIyMjkxMTMyNTYifQ==</vt:lpwstr>
  </property>
</Properties>
</file>